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B4469" w14:textId="77777777" w:rsidR="00FD6B5B" w:rsidRPr="00F83EFA" w:rsidRDefault="00FD6B5B" w:rsidP="00F83EFA">
      <w:pPr>
        <w:pStyle w:val="1stLevelHeading"/>
      </w:pPr>
      <w:commentRangeStart w:id="0"/>
      <w:r w:rsidRPr="00F83EFA">
        <w:t>MEMORANDUM</w:t>
      </w:r>
      <w:commentRangeEnd w:id="0"/>
      <w:r w:rsidR="000D21F6">
        <w:rPr>
          <w:rStyle w:val="CommentReference"/>
          <w:b w:val="0"/>
        </w:rPr>
        <w:commentReference w:id="0"/>
      </w:r>
      <w:r w:rsidRPr="00F83EFA">
        <w:t xml:space="preserve"> OF AGREEMENT</w:t>
      </w:r>
    </w:p>
    <w:p w14:paraId="367C32D5" w14:textId="77777777" w:rsidR="00FD6B5B" w:rsidRPr="00F83EFA" w:rsidRDefault="00FD6B5B" w:rsidP="00F83EFA">
      <w:pPr>
        <w:pStyle w:val="1stLevelHeading"/>
      </w:pPr>
      <w:r w:rsidRPr="00F83EFA">
        <w:t>BETWEEN THE FLORIDA DEPARTMENT OF TRANSPORTATION AND</w:t>
      </w:r>
    </w:p>
    <w:p w14:paraId="55B6E22E" w14:textId="77777777" w:rsidR="00FD6B5B" w:rsidRPr="00F83EFA" w:rsidRDefault="00FD6B5B" w:rsidP="00F83EFA">
      <w:pPr>
        <w:pStyle w:val="1stLevelHeading"/>
      </w:pPr>
      <w:r w:rsidRPr="00F83EFA">
        <w:t>THE FLORIDA STATE HISTORIC PRESERVATION OFFICER</w:t>
      </w:r>
    </w:p>
    <w:p w14:paraId="640FDF84" w14:textId="77777777" w:rsidR="00FD6B5B" w:rsidRPr="00F83EFA" w:rsidRDefault="00FD6B5B" w:rsidP="00F83EFA">
      <w:pPr>
        <w:pStyle w:val="1stLevelHeading"/>
      </w:pPr>
      <w:r w:rsidRPr="00F83EFA">
        <w:t xml:space="preserve">REGARDING THE </w:t>
      </w:r>
      <w:r w:rsidRPr="00F83EFA">
        <w:rPr>
          <w:highlight w:val="yellow"/>
        </w:rPr>
        <w:t>[insert project name and location]</w:t>
      </w:r>
    </w:p>
    <w:p w14:paraId="4FFEBEDE" w14:textId="77777777" w:rsidR="00FD6B5B" w:rsidRDefault="00FD6B5B" w:rsidP="00DF56C5">
      <w:pPr>
        <w:pStyle w:val="WhereasClause"/>
      </w:pPr>
    </w:p>
    <w:p w14:paraId="7AED2469" w14:textId="33869764" w:rsidR="00FD6B5B" w:rsidRPr="00261303" w:rsidRDefault="00FD6B5B" w:rsidP="00DF56C5">
      <w:pPr>
        <w:pStyle w:val="WhereasClause"/>
      </w:pPr>
      <w:r w:rsidRPr="00261303">
        <w:rPr>
          <w:b/>
        </w:rPr>
        <w:t>WHEREAS,</w:t>
      </w:r>
      <w:r w:rsidRPr="00261303">
        <w:t xml:space="preserve"> Pursuant to 23 United States Code (U.S.C.) § 327 and the implementing Memorandum of Understanding (MOU) executed on </w:t>
      </w:r>
      <w:r w:rsidR="00840AC1">
        <w:t>May 26, 2022</w:t>
      </w:r>
      <w:r w:rsidRPr="00261303">
        <w:t>, the Florida Department of Transportation (FDOT) has assumed Federal Hig</w:t>
      </w:r>
      <w:r w:rsidR="00A1285B" w:rsidRPr="00261303">
        <w:t>hway Administration’s (FHWA</w:t>
      </w:r>
      <w:r w:rsidRPr="00261303">
        <w:t>) responsibilities under the National Environmental Policy Act (NEPA) for highway projects on the State Highway System (SHS) and Local Agency Program (LAP) projects off the SHS; and</w:t>
      </w:r>
    </w:p>
    <w:p w14:paraId="769AC135" w14:textId="77777777" w:rsidR="00FD6B5B" w:rsidRPr="00261303" w:rsidRDefault="00FD6B5B" w:rsidP="00DF56C5">
      <w:pPr>
        <w:pStyle w:val="WhereasClause"/>
      </w:pPr>
    </w:p>
    <w:p w14:paraId="29F31234" w14:textId="0BF4B76D" w:rsidR="00FD6B5B" w:rsidRPr="0010734A" w:rsidRDefault="00FD6B5B" w:rsidP="00DF56C5">
      <w:pPr>
        <w:pStyle w:val="WhereasClause"/>
      </w:pPr>
      <w:r w:rsidRPr="0010734A">
        <w:rPr>
          <w:b/>
        </w:rPr>
        <w:t>WHEREAS,</w:t>
      </w:r>
      <w:r w:rsidRPr="0010734A">
        <w:t xml:space="preserve"> in accordance with the MOU, FDOT’s assumption of FHWA’s responsibilities under NEPA for highway projects includes assumption of responsibilities for compliance with </w:t>
      </w:r>
      <w:r w:rsidR="004856D9" w:rsidRPr="0010734A">
        <w:t>36 CFR Part 800, regulations implementing Section 106 of the National Historic Preservation Act (54 U.S.C. § 306108); and</w:t>
      </w:r>
    </w:p>
    <w:p w14:paraId="462D8187" w14:textId="6CDEE37B" w:rsidR="007739A3" w:rsidRPr="0010734A" w:rsidRDefault="007739A3" w:rsidP="00DF56C5">
      <w:pPr>
        <w:pStyle w:val="WhereasClause"/>
      </w:pPr>
    </w:p>
    <w:p w14:paraId="1CB30195" w14:textId="20E134CF" w:rsidR="007739A3" w:rsidRPr="0010734A" w:rsidRDefault="007739A3" w:rsidP="00DF56C5">
      <w:pPr>
        <w:pStyle w:val="WhereasClause"/>
      </w:pPr>
      <w:proofErr w:type="gramStart"/>
      <w:r w:rsidRPr="0010734A">
        <w:rPr>
          <w:b/>
        </w:rPr>
        <w:t>WHEREAS,</w:t>
      </w:r>
      <w:proofErr w:type="gramEnd"/>
      <w:r w:rsidRPr="0010734A">
        <w:t xml:space="preserve"> FDOT </w:t>
      </w:r>
      <w:r w:rsidR="002575E4">
        <w:t>will</w:t>
      </w:r>
      <w:r w:rsidRPr="0010734A">
        <w:t xml:space="preserve"> provide federal financial assistance for the </w:t>
      </w:r>
      <w:r w:rsidRPr="0010734A">
        <w:rPr>
          <w:highlight w:val="yellow"/>
        </w:rPr>
        <w:t>[insert project description and FPI Number]</w:t>
      </w:r>
      <w:r w:rsidRPr="0010734A">
        <w:t xml:space="preserve"> (</w:t>
      </w:r>
      <w:r w:rsidRPr="0010734A">
        <w:rPr>
          <w:b/>
        </w:rPr>
        <w:t>Project</w:t>
      </w:r>
      <w:r w:rsidRPr="0010734A">
        <w:t>); and</w:t>
      </w:r>
    </w:p>
    <w:p w14:paraId="15E41F73" w14:textId="77777777" w:rsidR="0010734A" w:rsidRDefault="0010734A" w:rsidP="00DF56C5">
      <w:pPr>
        <w:pStyle w:val="WhereasClause"/>
      </w:pPr>
    </w:p>
    <w:p w14:paraId="6D0E29C8" w14:textId="2F55C7BA" w:rsidR="001C1432" w:rsidRPr="0010734A" w:rsidRDefault="001C1432" w:rsidP="00DF56C5">
      <w:pPr>
        <w:pStyle w:val="WhereasClause"/>
      </w:pPr>
      <w:r w:rsidRPr="0010734A">
        <w:rPr>
          <w:b/>
        </w:rPr>
        <w:t>WHEREAS,</w:t>
      </w:r>
      <w:r w:rsidR="0010734A">
        <w:t xml:space="preserve"> FDOT has determined that </w:t>
      </w:r>
      <w:r w:rsidRPr="00BB0AF4">
        <w:t>the</w:t>
      </w:r>
      <w:r w:rsidRPr="0010734A">
        <w:rPr>
          <w:b/>
        </w:rPr>
        <w:t xml:space="preserve"> Project</w:t>
      </w:r>
      <w:r w:rsidRPr="0010734A">
        <w:t xml:space="preserve"> represents an undertaking in </w:t>
      </w:r>
      <w:r w:rsidR="00561A17" w:rsidRPr="0010734A">
        <w:t xml:space="preserve">accordance with 36 CFR </w:t>
      </w:r>
      <w:r w:rsidR="00143A57" w:rsidRPr="0010734A">
        <w:t xml:space="preserve">§ </w:t>
      </w:r>
      <w:r w:rsidR="00561A17" w:rsidRPr="0010734A">
        <w:t>800</w:t>
      </w:r>
      <w:r w:rsidR="00143A57" w:rsidRPr="0010734A">
        <w:t>.3(a)</w:t>
      </w:r>
      <w:r w:rsidRPr="0010734A">
        <w:t>; and</w:t>
      </w:r>
    </w:p>
    <w:p w14:paraId="5365D624" w14:textId="77777777" w:rsidR="004E4E16" w:rsidRPr="00261303" w:rsidRDefault="004E4E16" w:rsidP="00DF56C5">
      <w:pPr>
        <w:pStyle w:val="WhereasClause"/>
      </w:pPr>
    </w:p>
    <w:p w14:paraId="04D4FFEB" w14:textId="77777777" w:rsidR="001C1432" w:rsidRPr="00261303" w:rsidRDefault="004E4E16" w:rsidP="00DF56C5">
      <w:pPr>
        <w:pStyle w:val="WhereasClause"/>
      </w:pPr>
      <w:r w:rsidRPr="00261303">
        <w:rPr>
          <w:b/>
        </w:rPr>
        <w:t>WHEREAS,</w:t>
      </w:r>
      <w:r w:rsidRPr="00261303">
        <w:t xml:space="preserve"> FDOT has defined </w:t>
      </w:r>
      <w:r w:rsidRPr="00BB0AF4">
        <w:t>the</w:t>
      </w:r>
      <w:r w:rsidRPr="00261303">
        <w:rPr>
          <w:b/>
        </w:rPr>
        <w:t xml:space="preserve"> Project’s</w:t>
      </w:r>
      <w:r w:rsidRPr="00261303">
        <w:t xml:space="preserve"> area of potential effects (APE) as </w:t>
      </w:r>
      <w:r w:rsidRPr="00261303">
        <w:rPr>
          <w:highlight w:val="yellow"/>
        </w:rPr>
        <w:t>[insert written description and/or "described in Attachment XXX"]</w:t>
      </w:r>
      <w:r w:rsidRPr="00261303">
        <w:t>; and</w:t>
      </w:r>
    </w:p>
    <w:p w14:paraId="7A6A8FDE" w14:textId="77777777" w:rsidR="00261303" w:rsidRPr="00261303" w:rsidRDefault="00261303" w:rsidP="00DF56C5">
      <w:pPr>
        <w:pStyle w:val="WhereasClause"/>
      </w:pPr>
    </w:p>
    <w:p w14:paraId="651E2C03" w14:textId="77777777" w:rsidR="004E4E16" w:rsidRDefault="004E4E16" w:rsidP="00DF56C5">
      <w:pPr>
        <w:pStyle w:val="WhereasClause"/>
      </w:pPr>
      <w:r w:rsidRPr="00261303">
        <w:rPr>
          <w:b/>
        </w:rPr>
        <w:t>WHEREAS,</w:t>
      </w:r>
      <w:r w:rsidRPr="00261303">
        <w:t xml:space="preserve"> FDOT has consulted with the Florida State Historic Preservation Officer (SHPO) pursuant to the requirements of 36 CFR </w:t>
      </w:r>
      <w:r w:rsidR="00BE0BC1">
        <w:t>Part</w:t>
      </w:r>
      <w:r w:rsidRPr="00261303">
        <w:t xml:space="preserve"> 800 and has determined that </w:t>
      </w:r>
      <w:r w:rsidRPr="00BB0AF4">
        <w:t>the</w:t>
      </w:r>
      <w:r w:rsidRPr="00261303">
        <w:rPr>
          <w:b/>
        </w:rPr>
        <w:t xml:space="preserve"> Project</w:t>
      </w:r>
      <w:r w:rsidRPr="00261303">
        <w:t xml:space="preserve"> may have an adverse effect on </w:t>
      </w:r>
      <w:r w:rsidRPr="00261303">
        <w:rPr>
          <w:highlight w:val="yellow"/>
        </w:rPr>
        <w:t>[insert site(s) name and Florida Master Site File [FMSF] Number]</w:t>
      </w:r>
      <w:r w:rsidRPr="00261303">
        <w:t xml:space="preserve">, which is/are </w:t>
      </w:r>
      <w:r w:rsidR="00691E1A" w:rsidRPr="00261303">
        <w:rPr>
          <w:highlight w:val="yellow"/>
        </w:rPr>
        <w:t>[listed in/eligible for listing in]</w:t>
      </w:r>
      <w:r w:rsidR="00691E1A" w:rsidRPr="00261303">
        <w:t xml:space="preserve"> the National Register of Historic Places (NRHP)</w:t>
      </w:r>
      <w:r w:rsidRPr="00261303">
        <w:t>; and</w:t>
      </w:r>
    </w:p>
    <w:p w14:paraId="518B4C60" w14:textId="77777777" w:rsidR="00261303" w:rsidRPr="00261303" w:rsidRDefault="00261303" w:rsidP="00DF56C5">
      <w:pPr>
        <w:pStyle w:val="WhereasClause"/>
      </w:pPr>
    </w:p>
    <w:p w14:paraId="67FDDE2F" w14:textId="7558B91A" w:rsidR="00691E1A" w:rsidRPr="0057210E" w:rsidRDefault="00691E1A" w:rsidP="00DF56C5">
      <w:pPr>
        <w:pStyle w:val="WhereasClause"/>
      </w:pPr>
      <w:r w:rsidRPr="00346EAA">
        <w:rPr>
          <w:b/>
        </w:rPr>
        <w:t>WHEREAS,</w:t>
      </w:r>
      <w:r w:rsidRPr="00346EAA">
        <w:t xml:space="preserve"> FDOT has consulted with the </w:t>
      </w:r>
      <w:r w:rsidRPr="0057210E">
        <w:rPr>
          <w:highlight w:val="yellow"/>
        </w:rPr>
        <w:t xml:space="preserve">[Miccosukee Tribe of Indians of Florida, the Mississippi Band of Choctaw Indians, the Muscogee (Creek) Nation, the Poarch Band of Creek Indians, the Seminole Tribe of Florida, and the Seminole Nation of Oklahoma] </w:t>
      </w:r>
      <w:r w:rsidRPr="00346EAA">
        <w:t>regarding the effects of the</w:t>
      </w:r>
      <w:r w:rsidRPr="00346EAA">
        <w:rPr>
          <w:b/>
        </w:rPr>
        <w:t xml:space="preserve"> Project</w:t>
      </w:r>
      <w:r w:rsidRPr="00346EAA">
        <w:t xml:space="preserve"> on historic properties; and</w:t>
      </w:r>
    </w:p>
    <w:p w14:paraId="70985D9E" w14:textId="39364093" w:rsidR="0061261A" w:rsidRPr="0057210E" w:rsidRDefault="0061261A" w:rsidP="00DF56C5">
      <w:pPr>
        <w:pStyle w:val="WhereasClause"/>
      </w:pPr>
    </w:p>
    <w:p w14:paraId="71582B34" w14:textId="6979DA08" w:rsidR="0061261A" w:rsidRDefault="0061261A" w:rsidP="00DF56C5">
      <w:pPr>
        <w:pStyle w:val="WhereasClause"/>
      </w:pPr>
      <w:r w:rsidRPr="00346EAA">
        <w:rPr>
          <w:b/>
        </w:rPr>
        <w:t>WHEREAS,</w:t>
      </w:r>
      <w:r w:rsidRPr="00346EAA">
        <w:t xml:space="preserve"> FDOT has consulted with the </w:t>
      </w:r>
      <w:r w:rsidRPr="0057210E">
        <w:rPr>
          <w:highlight w:val="yellow"/>
        </w:rPr>
        <w:t xml:space="preserve">[insert names of appropriate local government and other consulting government agencies or appropriate government entities, citizen groups and organizations and/or other parties which have a demonstrated interest in the effects of the project on historic properties] </w:t>
      </w:r>
      <w:r w:rsidRPr="00346EAA">
        <w:t>regarding the effects of the</w:t>
      </w:r>
      <w:r w:rsidRPr="00346EAA">
        <w:rPr>
          <w:b/>
        </w:rPr>
        <w:t xml:space="preserve"> Project</w:t>
      </w:r>
      <w:r w:rsidRPr="00346EAA">
        <w:t xml:space="preserve"> on historic properties; and</w:t>
      </w:r>
    </w:p>
    <w:p w14:paraId="11418CB7" w14:textId="77777777" w:rsidR="00261303" w:rsidRPr="00261303" w:rsidRDefault="00261303" w:rsidP="00DF56C5">
      <w:pPr>
        <w:pStyle w:val="WhereasClause"/>
      </w:pPr>
    </w:p>
    <w:p w14:paraId="1AC00194" w14:textId="2B923220" w:rsidR="00691E1A" w:rsidRDefault="00691E1A" w:rsidP="00DF56C5">
      <w:pPr>
        <w:pStyle w:val="WhereasClause"/>
      </w:pPr>
      <w:r w:rsidRPr="00261303">
        <w:rPr>
          <w:b/>
        </w:rPr>
        <w:t>WHEREAS,</w:t>
      </w:r>
      <w:r w:rsidRPr="00261303">
        <w:t xml:space="preserve"> FDOT has provided opportunities for public review and comment regarding the effects of </w:t>
      </w:r>
      <w:r w:rsidRPr="00BB0AF4">
        <w:t>the</w:t>
      </w:r>
      <w:r w:rsidRPr="00261303">
        <w:rPr>
          <w:b/>
        </w:rPr>
        <w:t xml:space="preserve"> Project</w:t>
      </w:r>
      <w:r w:rsidR="00A73390">
        <w:t xml:space="preserve"> on historic properties</w:t>
      </w:r>
      <w:r w:rsidR="00252261">
        <w:t>, as appropriate</w:t>
      </w:r>
      <w:r w:rsidRPr="00261303">
        <w:t>; and</w:t>
      </w:r>
    </w:p>
    <w:p w14:paraId="53094DFA" w14:textId="77777777" w:rsidR="00261303" w:rsidRPr="00261303" w:rsidRDefault="00261303" w:rsidP="00DF56C5">
      <w:pPr>
        <w:pStyle w:val="WhereasClause"/>
      </w:pPr>
    </w:p>
    <w:p w14:paraId="2701470A" w14:textId="1B57680E" w:rsidR="00691E1A" w:rsidRDefault="00691E1A" w:rsidP="00DF56C5">
      <w:pPr>
        <w:pStyle w:val="WhereasClause"/>
      </w:pPr>
      <w:r w:rsidRPr="00261303">
        <w:rPr>
          <w:b/>
        </w:rPr>
        <w:t>WHEREAS,</w:t>
      </w:r>
      <w:r w:rsidRPr="00261303">
        <w:t xml:space="preserve"> in accordance with 36 CFR § 800.6(a)(1) FDOT has notified the Advisory Council on Historic Preservation (ACHP) of the adverse effect determination with specified </w:t>
      </w:r>
      <w:r w:rsidRPr="00261303">
        <w:lastRenderedPageBreak/>
        <w:t xml:space="preserve">documentation and has invited the ACHP to comment and participate in consultation, and the ACHP has chosen </w:t>
      </w:r>
      <w:r w:rsidRPr="00C570F2">
        <w:rPr>
          <w:highlight w:val="yellow"/>
        </w:rPr>
        <w:t>not to</w:t>
      </w:r>
      <w:r w:rsidR="004856D9">
        <w:t xml:space="preserve"> participate pursuant to 36 CFR</w:t>
      </w:r>
      <w:r w:rsidRPr="00261303">
        <w:t xml:space="preserve"> § 800.6(a)(1)(iii); and</w:t>
      </w:r>
    </w:p>
    <w:p w14:paraId="770F0E97" w14:textId="77777777" w:rsidR="00261303" w:rsidRPr="00261303" w:rsidRDefault="00261303" w:rsidP="00DF56C5">
      <w:pPr>
        <w:pStyle w:val="WhereasClause"/>
      </w:pPr>
    </w:p>
    <w:p w14:paraId="17AFAD65" w14:textId="77777777" w:rsidR="00261303" w:rsidRDefault="00261303" w:rsidP="00DF56C5">
      <w:pPr>
        <w:pStyle w:val="WhereasClause"/>
      </w:pPr>
      <w:r w:rsidRPr="00261303">
        <w:rPr>
          <w:b/>
        </w:rPr>
        <w:t>NOW, THEREFORE,</w:t>
      </w:r>
      <w:r w:rsidRPr="00261303">
        <w:t xml:space="preserve"> FDOT and the SHPO agree that </w:t>
      </w:r>
      <w:r w:rsidRPr="00BB0AF4">
        <w:t>the</w:t>
      </w:r>
      <w:r w:rsidRPr="00261303">
        <w:rPr>
          <w:b/>
        </w:rPr>
        <w:t xml:space="preserve"> Project</w:t>
      </w:r>
      <w:r w:rsidRPr="00261303">
        <w:t xml:space="preserve"> shall be implemented in accordance with the following stipulations to </w:t>
      </w:r>
      <w:proofErr w:type="gramStart"/>
      <w:r w:rsidRPr="00261303">
        <w:t>take into account</w:t>
      </w:r>
      <w:proofErr w:type="gramEnd"/>
      <w:r w:rsidRPr="00261303">
        <w:t xml:space="preserve"> the effect of </w:t>
      </w:r>
      <w:r w:rsidRPr="00BB0AF4">
        <w:t>the</w:t>
      </w:r>
      <w:r w:rsidRPr="00261303">
        <w:rPr>
          <w:b/>
        </w:rPr>
        <w:t xml:space="preserve"> Project</w:t>
      </w:r>
      <w:r w:rsidRPr="00261303">
        <w:t xml:space="preserve"> on historic properties.</w:t>
      </w:r>
    </w:p>
    <w:p w14:paraId="5F8AD305" w14:textId="77777777" w:rsidR="0079347C" w:rsidRDefault="0079347C" w:rsidP="00DF56C5">
      <w:pPr>
        <w:pStyle w:val="WhereasClause"/>
      </w:pPr>
    </w:p>
    <w:p w14:paraId="76ACBE7E" w14:textId="77777777" w:rsidR="00F83EFA" w:rsidRDefault="00F83EFA" w:rsidP="00F83EFA">
      <w:pPr>
        <w:pStyle w:val="1stLevelHeading"/>
      </w:pPr>
      <w:commentRangeStart w:id="1"/>
      <w:r>
        <w:t>STIPULATIONS</w:t>
      </w:r>
      <w:commentRangeEnd w:id="1"/>
      <w:r w:rsidR="00840AC1">
        <w:rPr>
          <w:rStyle w:val="CommentReference"/>
          <w:b w:val="0"/>
        </w:rPr>
        <w:commentReference w:id="1"/>
      </w:r>
    </w:p>
    <w:p w14:paraId="5C14F084" w14:textId="77777777" w:rsidR="00F83EFA" w:rsidRDefault="00F83EFA" w:rsidP="00DF56C5">
      <w:pPr>
        <w:pStyle w:val="WhereasClause"/>
      </w:pPr>
    </w:p>
    <w:p w14:paraId="3B5CBCC3" w14:textId="720DE55F" w:rsidR="00952DEA" w:rsidRPr="00A672A1" w:rsidRDefault="00952DEA" w:rsidP="00952DEA">
      <w:pPr>
        <w:pStyle w:val="Heading2"/>
      </w:pPr>
      <w:r w:rsidRPr="00833C4D">
        <w:t>FDOT</w:t>
      </w:r>
      <w:r>
        <w:t xml:space="preserve"> shall ens</w:t>
      </w:r>
      <w:r w:rsidRPr="00A672A1">
        <w:t>ure that the following measures are carried out:</w:t>
      </w:r>
    </w:p>
    <w:p w14:paraId="22664992" w14:textId="77777777" w:rsidR="00982DDC" w:rsidRPr="00D7299D" w:rsidRDefault="00F83EFA" w:rsidP="00A7680E">
      <w:pPr>
        <w:pStyle w:val="Heading1"/>
        <w:rPr>
          <w:highlight w:val="yellow"/>
        </w:rPr>
      </w:pPr>
      <w:r w:rsidRPr="00D7299D">
        <w:rPr>
          <w:highlight w:val="yellow"/>
        </w:rPr>
        <w:t>STIPULATION</w:t>
      </w:r>
      <w:r w:rsidR="00982DDC" w:rsidRPr="00D7299D">
        <w:rPr>
          <w:highlight w:val="yellow"/>
        </w:rPr>
        <w:t xml:space="preserve"> TITLE</w:t>
      </w:r>
      <w:r w:rsidR="00CD6A08" w:rsidRPr="00D7299D">
        <w:rPr>
          <w:highlight w:val="yellow"/>
        </w:rPr>
        <w:t xml:space="preserve"> (Heading 1)</w:t>
      </w:r>
    </w:p>
    <w:p w14:paraId="4921347D" w14:textId="77777777" w:rsidR="00982DDC" w:rsidRPr="00D7299D" w:rsidRDefault="00982DDC" w:rsidP="00982DDC">
      <w:pPr>
        <w:pStyle w:val="Heading2"/>
        <w:rPr>
          <w:highlight w:val="yellow"/>
        </w:rPr>
      </w:pPr>
      <w:r w:rsidRPr="00D7299D">
        <w:rPr>
          <w:highlight w:val="yellow"/>
        </w:rPr>
        <w:t>Stipulation text (Heading 2)</w:t>
      </w:r>
      <w:r w:rsidR="00C570F2" w:rsidRPr="00D7299D">
        <w:rPr>
          <w:highlight w:val="yellow"/>
        </w:rPr>
        <w:t>. The first few stipulations should cover the negotiated measures to avoid, minimize, or mitigate the adverse effects on historic properties.</w:t>
      </w:r>
    </w:p>
    <w:p w14:paraId="19E78012" w14:textId="77777777" w:rsidR="00982DDC" w:rsidRPr="00D7299D" w:rsidRDefault="00982DDC" w:rsidP="00A7680E">
      <w:pPr>
        <w:pStyle w:val="Heading3"/>
        <w:rPr>
          <w:highlight w:val="yellow"/>
        </w:rPr>
      </w:pPr>
      <w:r w:rsidRPr="00D7299D">
        <w:rPr>
          <w:highlight w:val="yellow"/>
        </w:rPr>
        <w:t>Stipulation subtext (Heading 3)</w:t>
      </w:r>
    </w:p>
    <w:p w14:paraId="6128F227" w14:textId="77777777" w:rsidR="00982DDC" w:rsidRPr="00D7299D" w:rsidRDefault="00982DDC" w:rsidP="00A7680E">
      <w:pPr>
        <w:pStyle w:val="Heading4"/>
        <w:rPr>
          <w:highlight w:val="yellow"/>
        </w:rPr>
      </w:pPr>
      <w:r w:rsidRPr="00D7299D">
        <w:rPr>
          <w:highlight w:val="yellow"/>
        </w:rPr>
        <w:t>Stipulation subtext (Heading 4)</w:t>
      </w:r>
    </w:p>
    <w:p w14:paraId="7ADEA42C" w14:textId="77777777" w:rsidR="00982DDC" w:rsidRPr="00D7299D" w:rsidRDefault="00982DDC" w:rsidP="00A7680E">
      <w:pPr>
        <w:pStyle w:val="Heading1"/>
        <w:rPr>
          <w:highlight w:val="yellow"/>
        </w:rPr>
      </w:pPr>
      <w:r w:rsidRPr="00D7299D">
        <w:rPr>
          <w:highlight w:val="yellow"/>
        </w:rPr>
        <w:t>STIPULATION TITLE</w:t>
      </w:r>
    </w:p>
    <w:p w14:paraId="4A4D1C4D" w14:textId="77777777" w:rsidR="00982DDC" w:rsidRPr="00D7299D" w:rsidRDefault="00982DDC" w:rsidP="00982DDC">
      <w:pPr>
        <w:pStyle w:val="Heading2"/>
        <w:rPr>
          <w:highlight w:val="yellow"/>
        </w:rPr>
      </w:pPr>
      <w:r w:rsidRPr="00D7299D">
        <w:rPr>
          <w:highlight w:val="yellow"/>
        </w:rPr>
        <w:t>Stipulation text</w:t>
      </w:r>
    </w:p>
    <w:p w14:paraId="0B439A9B" w14:textId="77777777" w:rsidR="00F83EFA" w:rsidRPr="00D7299D" w:rsidRDefault="00982DDC" w:rsidP="00A7680E">
      <w:pPr>
        <w:pStyle w:val="Heading1"/>
        <w:rPr>
          <w:highlight w:val="yellow"/>
        </w:rPr>
      </w:pPr>
      <w:r w:rsidRPr="00D7299D">
        <w:rPr>
          <w:highlight w:val="yellow"/>
        </w:rPr>
        <w:t>STIPULATION TITLE</w:t>
      </w:r>
    </w:p>
    <w:p w14:paraId="51CEB9C9" w14:textId="21D652C7" w:rsidR="00840AC1" w:rsidRPr="00840AC1" w:rsidRDefault="00840AC1" w:rsidP="00840AC1">
      <w:pPr>
        <w:pStyle w:val="Heading2"/>
      </w:pPr>
      <w:r w:rsidRPr="00D7299D">
        <w:rPr>
          <w:highlight w:val="yellow"/>
        </w:rPr>
        <w:t>Stipulation text</w:t>
      </w:r>
    </w:p>
    <w:p w14:paraId="3B8EDD9D" w14:textId="77777777" w:rsidR="00A7680E" w:rsidRDefault="00A7680E" w:rsidP="00A7680E">
      <w:pPr>
        <w:pStyle w:val="Heading1"/>
      </w:pPr>
      <w:r>
        <w:t>PROFESSIONAL STANDARDS</w:t>
      </w:r>
    </w:p>
    <w:p w14:paraId="5154BDAB" w14:textId="1560BE14" w:rsidR="00952DEA" w:rsidRDefault="00952DEA" w:rsidP="00952DEA">
      <w:pPr>
        <w:pStyle w:val="Heading2"/>
      </w:pPr>
      <w:r>
        <w:t>All archaeological and historic preservation</w:t>
      </w:r>
      <w:r w:rsidRPr="00833C4D">
        <w:t xml:space="preserve"> work </w:t>
      </w:r>
      <w:r>
        <w:t xml:space="preserve">carried out </w:t>
      </w:r>
      <w:r w:rsidRPr="00833C4D">
        <w:t xml:space="preserve">pursuant to this </w:t>
      </w:r>
      <w:r>
        <w:t>A</w:t>
      </w:r>
      <w:r w:rsidRPr="00833C4D">
        <w:t>greement shall be conducted by, or under the direct supervision of, a person or persons meeting the Secretary of the Interior’s Professional Qualification Standards for Ar</w:t>
      </w:r>
      <w:r>
        <w:t>chaeology and</w:t>
      </w:r>
      <w:r w:rsidRPr="00833C4D">
        <w:t xml:space="preserve"> Histor</w:t>
      </w:r>
      <w:r>
        <w:t xml:space="preserve">ic Preservation as set forth at </w:t>
      </w:r>
      <w:r w:rsidR="00AC4098">
        <w:t xml:space="preserve">62 FR </w:t>
      </w:r>
      <w:r w:rsidRPr="00833C4D">
        <w:t>33708-33723</w:t>
      </w:r>
      <w:r w:rsidR="00AC4098">
        <w:t xml:space="preserve"> (</w:t>
      </w:r>
      <w:r w:rsidRPr="00833C4D">
        <w:t>June 20, 1997)</w:t>
      </w:r>
      <w:r>
        <w:t>.</w:t>
      </w:r>
    </w:p>
    <w:p w14:paraId="3B68BEA9" w14:textId="0B48C29F" w:rsidR="002575E4" w:rsidRPr="007D5293" w:rsidRDefault="00346EAA" w:rsidP="00BB0AF4">
      <w:pPr>
        <w:pStyle w:val="Heading1"/>
        <w:rPr>
          <w:highlight w:val="yellow"/>
        </w:rPr>
      </w:pPr>
      <w:bookmarkStart w:id="2" w:name="_Hlk535409086"/>
      <w:r>
        <w:rPr>
          <w:highlight w:val="yellow"/>
        </w:rPr>
        <w:t xml:space="preserve">CULTURAL MATERIAL CURATION </w:t>
      </w:r>
      <w:commentRangeStart w:id="3"/>
      <w:r>
        <w:rPr>
          <w:highlight w:val="yellow"/>
        </w:rPr>
        <w:t>PLAN</w:t>
      </w:r>
      <w:commentRangeEnd w:id="3"/>
      <w:r w:rsidR="00137FA1">
        <w:rPr>
          <w:rStyle w:val="CommentReference"/>
          <w:b w:val="0"/>
        </w:rPr>
        <w:commentReference w:id="3"/>
      </w:r>
    </w:p>
    <w:p w14:paraId="761A9078" w14:textId="72E3E0D3" w:rsidR="005910C5" w:rsidRPr="005910C5" w:rsidRDefault="005910C5" w:rsidP="005910C5">
      <w:pPr>
        <w:pStyle w:val="Heading2"/>
      </w:pPr>
      <w:r w:rsidRPr="005910C5">
        <w:t xml:space="preserve">In consultation with the SHPO, the Florida Bureau of Archaeological Research, and appropriate consulting parties, FDOT will </w:t>
      </w:r>
      <w:r w:rsidR="00FB6833">
        <w:t xml:space="preserve">develop a curation plan to </w:t>
      </w:r>
      <w:r w:rsidRPr="005910C5">
        <w:t xml:space="preserve">ensure that all materials and records resulting from excavations at </w:t>
      </w:r>
      <w:r w:rsidRPr="00BB0AF4">
        <w:rPr>
          <w:highlight w:val="yellow"/>
        </w:rPr>
        <w:t xml:space="preserve">site </w:t>
      </w:r>
      <w:proofErr w:type="spellStart"/>
      <w:r w:rsidR="00FB6833" w:rsidRPr="00BB0AF4">
        <w:rPr>
          <w:highlight w:val="yellow"/>
        </w:rPr>
        <w:t>xxxxx</w:t>
      </w:r>
      <w:proofErr w:type="spellEnd"/>
      <w:r w:rsidRPr="005910C5">
        <w:t xml:space="preserve"> are curated by the FDOT </w:t>
      </w:r>
      <w:r w:rsidR="008F0168">
        <w:t>at a facility meeting the requirements set forth in</w:t>
      </w:r>
      <w:r w:rsidRPr="005910C5">
        <w:t xml:space="preserve"> 36 CFR Part 79</w:t>
      </w:r>
      <w:r>
        <w:t>.</w:t>
      </w:r>
      <w:r w:rsidR="00346EAA" w:rsidRPr="00346EAA">
        <w:t xml:space="preserve"> </w:t>
      </w:r>
      <w:r w:rsidR="00346EAA">
        <w:t xml:space="preserve">Cultural materials and associated documentation will be prepared in accordance with the FDOT Collections and Curation </w:t>
      </w:r>
      <w:r w:rsidR="006A0E41">
        <w:t>Guidelines,</w:t>
      </w:r>
      <w:r w:rsidR="00346EAA">
        <w:t xml:space="preserve"> or the 1A-32 Permit, Collections and Curation Guidelines, as appropriate and based on the agency taking possession of the collection.</w:t>
      </w:r>
    </w:p>
    <w:bookmarkEnd w:id="2"/>
    <w:p w14:paraId="7A36A7DC" w14:textId="77777777" w:rsidR="00A7680E" w:rsidRDefault="00A7680E" w:rsidP="00952DEA">
      <w:pPr>
        <w:pStyle w:val="Heading1"/>
      </w:pPr>
      <w:r>
        <w:t xml:space="preserve">DURATION </w:t>
      </w:r>
    </w:p>
    <w:p w14:paraId="1DD28CA6" w14:textId="4B18092B" w:rsidR="00A7680E" w:rsidRDefault="00A7680E" w:rsidP="00A7680E">
      <w:pPr>
        <w:pStyle w:val="Heading2"/>
      </w:pPr>
      <w:r w:rsidRPr="00A7680E">
        <w:lastRenderedPageBreak/>
        <w:t xml:space="preserve">This </w:t>
      </w:r>
      <w:r>
        <w:t>Memorandum of Agreement (</w:t>
      </w:r>
      <w:r w:rsidRPr="00A7680E">
        <w:t>MOA</w:t>
      </w:r>
      <w:r>
        <w:t>)</w:t>
      </w:r>
      <w:r w:rsidRPr="00A7680E">
        <w:t xml:space="preserve"> will expire if its terms are not carried out within </w:t>
      </w:r>
      <w:r w:rsidRPr="00A7680E">
        <w:rPr>
          <w:highlight w:val="yellow"/>
        </w:rPr>
        <w:t>[xxx] (x)</w:t>
      </w:r>
      <w:r w:rsidRPr="00A7680E">
        <w:t xml:space="preserve"> years from the date of execution</w:t>
      </w:r>
      <w:r w:rsidR="007A384C">
        <w:t xml:space="preserve"> or upon project acceptance, whichever comes first</w:t>
      </w:r>
      <w:r w:rsidRPr="00A7680E">
        <w:t>. Prior to expiration, the parties may agree to extend the timeframe for fulfillment of the terms by letter agreement.</w:t>
      </w:r>
    </w:p>
    <w:p w14:paraId="58F1D693" w14:textId="77777777" w:rsidR="007A384C" w:rsidRPr="007A384C" w:rsidRDefault="007A384C" w:rsidP="007A384C">
      <w:pPr>
        <w:pStyle w:val="Heading1"/>
      </w:pPr>
      <w:r w:rsidRPr="007A384C">
        <w:t>MOA DOCUMENTATION</w:t>
      </w:r>
    </w:p>
    <w:p w14:paraId="22B3D0BA" w14:textId="1E551542" w:rsidR="0041000D" w:rsidRPr="0041000D" w:rsidRDefault="0041000D" w:rsidP="0041000D">
      <w:pPr>
        <w:pStyle w:val="Heading3"/>
      </w:pPr>
      <w:r w:rsidRPr="0041000D">
        <w:t>The FDOT shall provide a summary of actions carried out pursuant to this MOA to the FDOT Office of Environmental Management (OEM) annually. The reporting period shall be the fiscal year from July 1st to June 30</w:t>
      </w:r>
      <w:r w:rsidRPr="0041000D">
        <w:rPr>
          <w:vertAlign w:val="superscript"/>
        </w:rPr>
        <w:t>th</w:t>
      </w:r>
      <w:r w:rsidRPr="0041000D">
        <w:t xml:space="preserve"> and the summary shall describe the status of mitigation activities and, as applicable, any issues that may affect the ability of the FDOT to continue to meet the terms of this MOA, any disputes and objections received, and how they were resolved.</w:t>
      </w:r>
    </w:p>
    <w:p w14:paraId="0479752B" w14:textId="7ED93AC2" w:rsidR="007A384C" w:rsidRPr="007A384C" w:rsidRDefault="007A384C" w:rsidP="007A384C">
      <w:pPr>
        <w:pStyle w:val="Heading3"/>
      </w:pPr>
      <w:r w:rsidRPr="007A384C">
        <w:t xml:space="preserve">A Notice of Fulfillment will be prepared to summarize the implementation of the MOA after all stipulations have been fulfilled. This document will be submitted to </w:t>
      </w:r>
      <w:r w:rsidR="005B0B2E">
        <w:t xml:space="preserve">OEM </w:t>
      </w:r>
      <w:r w:rsidRPr="007A384C">
        <w:t>and SHPO for their files within six (6) months after completion of all MOA stipulations.</w:t>
      </w:r>
    </w:p>
    <w:p w14:paraId="316A7B2C" w14:textId="77777777" w:rsidR="00A7680E" w:rsidRDefault="00A7680E" w:rsidP="00A7680E">
      <w:pPr>
        <w:pStyle w:val="Heading1"/>
      </w:pPr>
      <w:r>
        <w:t>POST-REVIEW DISCOVERIES</w:t>
      </w:r>
    </w:p>
    <w:p w14:paraId="5D0409AB" w14:textId="484096A6" w:rsidR="00A7680E" w:rsidRDefault="00A7680E" w:rsidP="00BB0AF4">
      <w:pPr>
        <w:pStyle w:val="Heading3"/>
      </w:pPr>
      <w:r>
        <w:t>If properties are discovered that may be historically significant, or if unanticipated effects on historic properties</w:t>
      </w:r>
      <w:r w:rsidR="00FB6833">
        <w:t xml:space="preserve"> are</w:t>
      </w:r>
      <w:r>
        <w:t xml:space="preserve"> found, FDOT shall implement the Post Review Discovery Plan established in Stipulation </w:t>
      </w:r>
      <w:r w:rsidR="007A384C">
        <w:t>I</w:t>
      </w:r>
      <w:r>
        <w:t xml:space="preserve">X of the </w:t>
      </w:r>
      <w:r w:rsidR="007A384C">
        <w:t xml:space="preserve">September 27, </w:t>
      </w:r>
      <w:r w:rsidR="00782DB7">
        <w:t>2023,</w:t>
      </w:r>
      <w:r>
        <w:t xml:space="preserve"> Programmatic Agreement among the ACHP, SHPO, and FDOT</w:t>
      </w:r>
      <w:r w:rsidR="007D5293">
        <w:t xml:space="preserve"> (2023 PA)</w:t>
      </w:r>
      <w:r>
        <w:t>.</w:t>
      </w:r>
    </w:p>
    <w:p w14:paraId="7EF3D848" w14:textId="073268C6" w:rsidR="00D713EE" w:rsidRDefault="00A7680E" w:rsidP="00BB0AF4">
      <w:pPr>
        <w:pStyle w:val="Heading3"/>
      </w:pPr>
      <w:r>
        <w:t xml:space="preserve">In the unlikely event that human skeletal remains or associated burial artifacts are uncovered within the project area during construction, all work in that area must stop. The individual in charge of the activity that leads to the discovery must notify the Project Engineer and the FDOT District </w:t>
      </w:r>
      <w:r w:rsidRPr="00A7680E">
        <w:rPr>
          <w:highlight w:val="yellow"/>
        </w:rPr>
        <w:t>[x]</w:t>
      </w:r>
      <w:r>
        <w:t xml:space="preserve"> Cultural Resources Coordinator</w:t>
      </w:r>
      <w:r w:rsidR="007A384C">
        <w:t xml:space="preserve"> </w:t>
      </w:r>
      <w:r w:rsidR="007A384C" w:rsidRPr="007A384C">
        <w:t>per Stipulation X of the 2023 PA</w:t>
      </w:r>
      <w:r>
        <w:t xml:space="preserve">. The discovery must be reported to local law enforcement </w:t>
      </w:r>
      <w:r w:rsidR="004856D9">
        <w:t>and</w:t>
      </w:r>
      <w:r>
        <w:t xml:space="preserve"> the appropriate medical examiner. The medical examiner will determine whether the State Archaeologist should be contacted per the requirements of Section 872.05, Florida Statutes, and Rule 1A-44.004, Florida Administrative Code (FAC).</w:t>
      </w:r>
    </w:p>
    <w:p w14:paraId="69283FDB" w14:textId="4409878D" w:rsidR="00A7680E" w:rsidRDefault="00424AF6" w:rsidP="00A7680E">
      <w:pPr>
        <w:pStyle w:val="Heading1"/>
      </w:pPr>
      <w:r>
        <w:t>REVIEW STIPULATION</w:t>
      </w:r>
    </w:p>
    <w:p w14:paraId="3B6C64B8" w14:textId="64539F72" w:rsidR="00CD2682" w:rsidRDefault="00CD2682" w:rsidP="00A7680E">
      <w:pPr>
        <w:pStyle w:val="Heading2"/>
      </w:pPr>
      <w:r w:rsidRPr="00CD2682">
        <w:t>FDOT shall afford the SHPO and other consulting parties, including the federally</w:t>
      </w:r>
      <w:r w:rsidR="007A384C">
        <w:t xml:space="preserve"> </w:t>
      </w:r>
      <w:r w:rsidRPr="00CD2682">
        <w:t xml:space="preserve">recognized </w:t>
      </w:r>
      <w:r w:rsidR="007A384C">
        <w:t>T</w:t>
      </w:r>
      <w:r w:rsidRPr="00CD2682">
        <w:t xml:space="preserve">ribes affiliated with Florida, a 30-day period for review and comment following the receipt of delivery of </w:t>
      </w:r>
      <w:r w:rsidRPr="002D4642">
        <w:rPr>
          <w:highlight w:val="yellow"/>
        </w:rPr>
        <w:t>those submittals and reviews described above</w:t>
      </w:r>
      <w:r w:rsidRPr="00CD2682">
        <w:t xml:space="preserve">. If no comments are received by FDOT at the end of these 30 days, FDOT will presume there are no objections. Any objections to the findings or plans proposed in these submittals will be addressed in accordance with </w:t>
      </w:r>
      <w:r w:rsidRPr="002D4642">
        <w:rPr>
          <w:highlight w:val="yellow"/>
        </w:rPr>
        <w:t>Stipulation</w:t>
      </w:r>
      <w:r w:rsidRPr="007A384C">
        <w:rPr>
          <w:highlight w:val="yellow"/>
        </w:rPr>
        <w:t xml:space="preserve"> </w:t>
      </w:r>
      <w:proofErr w:type="spellStart"/>
      <w:r w:rsidR="006D61FD" w:rsidRPr="00844107">
        <w:rPr>
          <w:highlight w:val="yellow"/>
        </w:rPr>
        <w:t>xxxx</w:t>
      </w:r>
      <w:proofErr w:type="spellEnd"/>
      <w:r w:rsidRPr="00CD2682">
        <w:t xml:space="preserve"> below.  </w:t>
      </w:r>
    </w:p>
    <w:p w14:paraId="0D568C85" w14:textId="77777777" w:rsidR="00A7680E" w:rsidRDefault="00A7680E" w:rsidP="00A7680E">
      <w:pPr>
        <w:pStyle w:val="Heading1"/>
      </w:pPr>
      <w:r>
        <w:t>DISPUTE RESOLUTION</w:t>
      </w:r>
    </w:p>
    <w:p w14:paraId="4C597A58" w14:textId="77777777" w:rsidR="00A7680E" w:rsidRDefault="00A7680E" w:rsidP="00A7680E">
      <w:pPr>
        <w:pStyle w:val="Heading2"/>
      </w:pPr>
      <w:r>
        <w:t>Should any signatory to this MOA object at any time to any actions proposed or the manner in which the terms of this MOA are implemented, FDOT shall consult with such party to resolve the objection. If FDOT determines that such objection cannot be resolved, FDOT will:</w:t>
      </w:r>
    </w:p>
    <w:p w14:paraId="1FB76C5F" w14:textId="77777777" w:rsidR="00A7680E" w:rsidRPr="00A7680E" w:rsidRDefault="00A7680E" w:rsidP="00A7680E">
      <w:pPr>
        <w:pStyle w:val="Heading3"/>
      </w:pPr>
      <w:r w:rsidRPr="00A7680E">
        <w:lastRenderedPageBreak/>
        <w:t>Forward all documentation relevant to the dispute, including FDOT’s proposed resolution, to the ACHP. The ACHP shall provide FDOT with its advice on the resolution of the objection within thirty (30) days of receiving adequate documentation.  Prior to reaching a final decision on the dispute, FDOT shall prepare a written response that considers any timely advice or comments regarding the dispute from the ACHP, signatories, and concurring parties, and provide them with a copy of this written response. FDOT will then proceed according to its final decision.</w:t>
      </w:r>
    </w:p>
    <w:p w14:paraId="5AC5294A" w14:textId="77777777" w:rsidR="00A7680E" w:rsidRPr="00A7680E" w:rsidRDefault="00A7680E" w:rsidP="00A7680E">
      <w:pPr>
        <w:pStyle w:val="Heading3"/>
      </w:pPr>
      <w:r w:rsidRPr="00A7680E">
        <w:t xml:space="preserve">Make a final decision on the dispute and proceed accordingly if the ACHP does not provide its advice regarding the dispute within thirty (30) days. Prior to reaching such a final decision, FDOT shall prepare a written response that considers any timely comments regarding the dispute from the signatories to the MOA, and provide them and the ACHP with a copy of the written response. </w:t>
      </w:r>
    </w:p>
    <w:p w14:paraId="58CDDF3D" w14:textId="77777777" w:rsidR="00A7680E" w:rsidRDefault="00A7680E" w:rsidP="00A7680E">
      <w:pPr>
        <w:pStyle w:val="Heading3"/>
      </w:pPr>
      <w:r w:rsidRPr="00A7680E">
        <w:t>Fulfill its responsibility to carry out all other actions subject to the terms of this MOA that are not the subject of the dispute remain unchanged.</w:t>
      </w:r>
    </w:p>
    <w:p w14:paraId="6CF9FB74" w14:textId="77777777" w:rsidR="002B165E" w:rsidRDefault="002B165E" w:rsidP="002B165E">
      <w:pPr>
        <w:pStyle w:val="Heading1"/>
      </w:pPr>
      <w:r>
        <w:t>AMENDMENTS</w:t>
      </w:r>
    </w:p>
    <w:p w14:paraId="4D30783E" w14:textId="11DA0F4E" w:rsidR="002B165E" w:rsidRDefault="002B165E" w:rsidP="002B165E">
      <w:pPr>
        <w:pStyle w:val="Heading2"/>
      </w:pPr>
      <w:r w:rsidRPr="002B165E">
        <w:t>This MOA may be amended when such an amendment is agreed to</w:t>
      </w:r>
      <w:r w:rsidR="004F56FD">
        <w:t xml:space="preserve"> in writing by all signatories. </w:t>
      </w:r>
      <w:r w:rsidR="004F56FD" w:rsidRPr="005B7187">
        <w:t xml:space="preserve">All </w:t>
      </w:r>
      <w:r w:rsidR="004F56FD">
        <w:t>signatories</w:t>
      </w:r>
      <w:r w:rsidR="004F56FD" w:rsidRPr="005B7187">
        <w:t xml:space="preserve"> must signify their acceptance of the proposed changes to the MOA in writing within 30 days of their receipt.</w:t>
      </w:r>
      <w:r w:rsidR="004F56FD">
        <w:t xml:space="preserve"> </w:t>
      </w:r>
      <w:r w:rsidR="004F56FD" w:rsidRPr="002B165E">
        <w:t xml:space="preserve">The amendment will be effective </w:t>
      </w:r>
      <w:r w:rsidR="0042713A">
        <w:t>o</w:t>
      </w:r>
      <w:r w:rsidR="0042713A" w:rsidRPr="0042713A">
        <w:t xml:space="preserve">n the date a copy signed by </w:t>
      </w:r>
      <w:r w:rsidR="002D4642" w:rsidRPr="0042713A">
        <w:t>all</w:t>
      </w:r>
      <w:r w:rsidR="0042713A" w:rsidRPr="0042713A">
        <w:t xml:space="preserve"> signatories is filed with the ACHP</w:t>
      </w:r>
      <w:r w:rsidR="004F56FD" w:rsidRPr="002B165E">
        <w:t>.</w:t>
      </w:r>
      <w:r w:rsidR="004F56FD">
        <w:t xml:space="preserve"> In accordance with </w:t>
      </w:r>
      <w:r w:rsidR="00EA1998" w:rsidRPr="00EA1998">
        <w:t>36 CFR § 800.6(</w:t>
      </w:r>
      <w:r w:rsidR="00E70F2A">
        <w:t>c</w:t>
      </w:r>
      <w:r w:rsidR="00EA1998" w:rsidRPr="00EA1998">
        <w:t>)(7)</w:t>
      </w:r>
      <w:r w:rsidR="004F56FD">
        <w:t>, if the ACHP was not a signatory to the original agreement and the signatories execute an amended agreement, FDOT shall file the amended agreement with the ACHP.</w:t>
      </w:r>
    </w:p>
    <w:p w14:paraId="5781B9F7" w14:textId="77777777" w:rsidR="002B165E" w:rsidRDefault="002B165E" w:rsidP="002B165E">
      <w:pPr>
        <w:pStyle w:val="Heading1"/>
      </w:pPr>
      <w:r>
        <w:t>TERMINATION</w:t>
      </w:r>
    </w:p>
    <w:p w14:paraId="26C81199" w14:textId="2DA519E0" w:rsidR="002B165E" w:rsidRDefault="002B165E" w:rsidP="002B165E">
      <w:pPr>
        <w:pStyle w:val="Heading2"/>
      </w:pPr>
      <w:r>
        <w:t xml:space="preserve">If any signatory to this MOA determines that its terms will not or cannot be carried out, that party shall immediately consult with the other signatories in an effort to amend the MOA per </w:t>
      </w:r>
      <w:r w:rsidRPr="00D375E1">
        <w:rPr>
          <w:highlight w:val="yellow"/>
        </w:rPr>
        <w:t xml:space="preserve">Stipulation </w:t>
      </w:r>
      <w:proofErr w:type="spellStart"/>
      <w:r w:rsidR="003241BD">
        <w:rPr>
          <w:highlight w:val="yellow"/>
        </w:rPr>
        <w:t>xxxx</w:t>
      </w:r>
      <w:proofErr w:type="spellEnd"/>
      <w:r>
        <w:t xml:space="preserve">, above. If within thirty (30) days (or another </w:t>
      </w:r>
      <w:r w:rsidR="00B72118">
        <w:t>time</w:t>
      </w:r>
      <w:r>
        <w:t xml:space="preserve"> agreed to by all signatories) an amendment cannot be reached, any signatory may terminate the MOA upon written notification to the other signatories.</w:t>
      </w:r>
    </w:p>
    <w:p w14:paraId="6457DE64" w14:textId="34FB00F9" w:rsidR="00D375E1" w:rsidRDefault="002B165E" w:rsidP="00D375E1">
      <w:pPr>
        <w:pStyle w:val="Heading2"/>
      </w:pPr>
      <w:r>
        <w:t xml:space="preserve">Once the MOA is terminated, </w:t>
      </w:r>
      <w:r w:rsidR="00D375E1">
        <w:t>and</w:t>
      </w:r>
      <w:r w:rsidR="00D375E1" w:rsidRPr="00D375E1">
        <w:t xml:space="preserve"> prior to work continuing on </w:t>
      </w:r>
      <w:r w:rsidR="00B72118" w:rsidRPr="00BB0AF4">
        <w:t>the</w:t>
      </w:r>
      <w:r w:rsidR="00B72118">
        <w:rPr>
          <w:b/>
        </w:rPr>
        <w:t xml:space="preserve"> Project</w:t>
      </w:r>
      <w:r w:rsidR="00D375E1" w:rsidRPr="00D375E1">
        <w:t xml:space="preserve">, </w:t>
      </w:r>
      <w:r w:rsidR="00D375E1">
        <w:t>FDOT</w:t>
      </w:r>
      <w:r w:rsidR="00D375E1" w:rsidRPr="00D375E1">
        <w:t xml:space="preserve"> must either (a) execute an MOA pursuant to 36 CFR § 800.6 or (b) request, </w:t>
      </w:r>
      <w:proofErr w:type="gramStart"/>
      <w:r w:rsidR="00D375E1" w:rsidRPr="00D375E1">
        <w:t>take into account</w:t>
      </w:r>
      <w:proofErr w:type="gramEnd"/>
      <w:r w:rsidR="00D375E1" w:rsidRPr="00D375E1">
        <w:t xml:space="preserve">, and respond to the comments of the ACHP under 36 CFR § 800.7. </w:t>
      </w:r>
      <w:r w:rsidR="00D375E1">
        <w:t>FDOT</w:t>
      </w:r>
      <w:r w:rsidR="00D375E1" w:rsidRPr="00D375E1">
        <w:t xml:space="preserve"> shall notify the signatories as to the course of action it will pursue.</w:t>
      </w:r>
    </w:p>
    <w:p w14:paraId="19FB8AEE" w14:textId="4BD82859" w:rsidR="00844107" w:rsidRDefault="0046639C" w:rsidP="0046639C">
      <w:pPr>
        <w:pStyle w:val="NormalWeb"/>
        <w:jc w:val="both"/>
        <w:rPr>
          <w:b/>
        </w:rPr>
      </w:pPr>
      <w:r w:rsidRPr="00644F9B">
        <w:rPr>
          <w:i/>
        </w:rPr>
        <w:t xml:space="preserve">Execution of this MOA by FDOT and SHPO and implementation of its terms is evidence that FDOT has </w:t>
      </w:r>
      <w:proofErr w:type="gramStart"/>
      <w:r w:rsidRPr="00644F9B">
        <w:rPr>
          <w:i/>
        </w:rPr>
        <w:t>taken into account</w:t>
      </w:r>
      <w:proofErr w:type="gramEnd"/>
      <w:r w:rsidRPr="00644F9B">
        <w:rPr>
          <w:i/>
        </w:rPr>
        <w:t xml:space="preserve"> the effects of this undertaking on historic properties per the requirements of Section 106 (Public Law 113-287 [Title 54 U.S.C. 306108]), and 36 CFR Part 800 (Protection of Historic Properties)</w:t>
      </w:r>
      <w:r>
        <w:t>.</w:t>
      </w:r>
      <w:r w:rsidRPr="005A3B62">
        <w:rPr>
          <w:b/>
        </w:rPr>
        <w:t xml:space="preserve"> </w:t>
      </w:r>
    </w:p>
    <w:p w14:paraId="3E90CE93" w14:textId="77777777" w:rsidR="00844107" w:rsidRDefault="00844107">
      <w:pPr>
        <w:spacing w:after="160" w:line="259" w:lineRule="auto"/>
        <w:rPr>
          <w:b/>
        </w:rPr>
      </w:pPr>
      <w:r>
        <w:rPr>
          <w:b/>
        </w:rPr>
        <w:br w:type="page"/>
      </w:r>
    </w:p>
    <w:p w14:paraId="620D95D0" w14:textId="77777777" w:rsidR="00A6484A" w:rsidRPr="005A3B62" w:rsidRDefault="00A6484A" w:rsidP="00A6484A">
      <w:pPr>
        <w:pStyle w:val="NormalWeb"/>
        <w:jc w:val="both"/>
        <w:rPr>
          <w:b/>
        </w:rPr>
      </w:pPr>
      <w:r w:rsidRPr="005A3B62">
        <w:rPr>
          <w:b/>
        </w:rPr>
        <w:lastRenderedPageBreak/>
        <w:t>SIGNATORIES:</w:t>
      </w:r>
    </w:p>
    <w:p w14:paraId="3E394619" w14:textId="77777777" w:rsidR="00A6484A" w:rsidRDefault="00A6484A" w:rsidP="00A6484A">
      <w:pPr>
        <w:pStyle w:val="NormalWeb"/>
        <w:spacing w:before="0" w:beforeAutospacing="0" w:after="0" w:afterAutospacing="0"/>
        <w:jc w:val="both"/>
      </w:pPr>
      <w:r>
        <w:t>FLORIDA STATE HISTORIC PRESERVATION OFFICER</w:t>
      </w:r>
    </w:p>
    <w:p w14:paraId="3642F863" w14:textId="77777777" w:rsidR="00A6484A" w:rsidRDefault="00A6484A" w:rsidP="00A6484A">
      <w:pPr>
        <w:pStyle w:val="NormalWeb"/>
        <w:spacing w:before="0" w:beforeAutospacing="0" w:after="0" w:afterAutospacing="0"/>
        <w:jc w:val="both"/>
      </w:pPr>
    </w:p>
    <w:p w14:paraId="423FB67F" w14:textId="77777777" w:rsidR="00A6484A" w:rsidRDefault="00A6484A" w:rsidP="00A6484A">
      <w:pPr>
        <w:pStyle w:val="NormalWeb"/>
        <w:spacing w:before="0" w:beforeAutospacing="0" w:after="0" w:afterAutospacing="0"/>
        <w:jc w:val="both"/>
      </w:pPr>
    </w:p>
    <w:p w14:paraId="2148F962" w14:textId="77777777" w:rsidR="00A6484A" w:rsidRDefault="00A6484A" w:rsidP="00A6484A">
      <w:pPr>
        <w:pStyle w:val="NormalWeb"/>
        <w:spacing w:before="0" w:beforeAutospacing="0" w:after="0" w:afterAutospacing="0"/>
        <w:jc w:val="both"/>
      </w:pPr>
    </w:p>
    <w:p w14:paraId="195292A4" w14:textId="77777777" w:rsidR="007A384C" w:rsidRDefault="007A384C" w:rsidP="00A6484A">
      <w:pPr>
        <w:pStyle w:val="NormalWeb"/>
        <w:spacing w:before="0" w:beforeAutospacing="0" w:after="0" w:afterAutospacing="0"/>
        <w:jc w:val="both"/>
      </w:pPr>
    </w:p>
    <w:p w14:paraId="7860A411" w14:textId="77777777" w:rsidR="007A384C" w:rsidRDefault="007A384C" w:rsidP="00A6484A">
      <w:pPr>
        <w:pStyle w:val="NormalWeb"/>
        <w:spacing w:before="0" w:beforeAutospacing="0" w:after="0" w:afterAutospacing="0"/>
        <w:jc w:val="both"/>
      </w:pPr>
    </w:p>
    <w:p w14:paraId="0793F6E0" w14:textId="021DB97F" w:rsidR="00A6484A" w:rsidRPr="005A3B62" w:rsidRDefault="00A6484A" w:rsidP="00A6484A">
      <w:pPr>
        <w:pStyle w:val="NormalWeb"/>
        <w:spacing w:before="0" w:beforeAutospacing="0" w:after="0" w:afterAutospacing="0"/>
        <w:jc w:val="both"/>
      </w:pPr>
      <w:r w:rsidRPr="005A3B62">
        <w:t>______________________________</w:t>
      </w:r>
      <w:r w:rsidR="00F3337F" w:rsidRPr="005A3B62">
        <w:t>_____________</w:t>
      </w:r>
      <w:r w:rsidRPr="005A3B62">
        <w:t xml:space="preserve"> Date</w:t>
      </w:r>
      <w:r w:rsidR="00F3337F" w:rsidRPr="005A3B62">
        <w:t>______________________________</w:t>
      </w:r>
    </w:p>
    <w:p w14:paraId="5272B3C9" w14:textId="210DE72B" w:rsidR="00A6484A" w:rsidRDefault="007A384C" w:rsidP="00A6484A">
      <w:pPr>
        <w:pStyle w:val="NormalWeb"/>
        <w:spacing w:before="0" w:beforeAutospacing="0" w:after="0" w:afterAutospacing="0"/>
        <w:jc w:val="both"/>
      </w:pPr>
      <w:r>
        <w:t>Alissa Slade Lotane</w:t>
      </w:r>
    </w:p>
    <w:p w14:paraId="1567F9A4" w14:textId="77777777" w:rsidR="00A6484A" w:rsidRDefault="00A6484A" w:rsidP="00A6484A">
      <w:pPr>
        <w:pStyle w:val="NormalWeb"/>
        <w:spacing w:before="0" w:beforeAutospacing="0" w:after="0" w:afterAutospacing="0"/>
        <w:jc w:val="both"/>
      </w:pPr>
      <w:r>
        <w:t>Director, Division of Historical Resources</w:t>
      </w:r>
    </w:p>
    <w:p w14:paraId="50E0D754" w14:textId="77777777" w:rsidR="00A6484A" w:rsidRDefault="00A6484A" w:rsidP="00A6484A">
      <w:pPr>
        <w:pStyle w:val="NormalWeb"/>
        <w:spacing w:before="0" w:beforeAutospacing="0" w:after="0" w:afterAutospacing="0"/>
        <w:jc w:val="both"/>
      </w:pPr>
      <w:r>
        <w:t>State Historic Preservation Officer</w:t>
      </w:r>
    </w:p>
    <w:p w14:paraId="58E9B271" w14:textId="2B69B580" w:rsidR="00A6484A" w:rsidRDefault="00A6484A" w:rsidP="00A6484A">
      <w:pPr>
        <w:pStyle w:val="NormalWeb"/>
        <w:spacing w:before="0" w:beforeAutospacing="0" w:after="0" w:afterAutospacing="0"/>
        <w:jc w:val="both"/>
      </w:pPr>
    </w:p>
    <w:p w14:paraId="1164C00D" w14:textId="77777777" w:rsidR="00A4774F" w:rsidRDefault="00A4774F" w:rsidP="00A6484A">
      <w:pPr>
        <w:pStyle w:val="NormalWeb"/>
        <w:spacing w:before="0" w:beforeAutospacing="0" w:after="0" w:afterAutospacing="0"/>
        <w:jc w:val="both"/>
      </w:pPr>
    </w:p>
    <w:p w14:paraId="08EC8DE1" w14:textId="77777777" w:rsidR="00C8687D" w:rsidRDefault="00C8687D" w:rsidP="00A6484A">
      <w:pPr>
        <w:pStyle w:val="NormalWeb"/>
        <w:spacing w:before="0" w:beforeAutospacing="0" w:after="0" w:afterAutospacing="0"/>
        <w:jc w:val="both"/>
      </w:pPr>
    </w:p>
    <w:p w14:paraId="634C8A77" w14:textId="77777777" w:rsidR="007A384C" w:rsidRDefault="007A384C" w:rsidP="00A6484A">
      <w:pPr>
        <w:pStyle w:val="NormalWeb"/>
        <w:spacing w:before="0" w:beforeAutospacing="0" w:after="0" w:afterAutospacing="0"/>
        <w:jc w:val="both"/>
      </w:pPr>
    </w:p>
    <w:p w14:paraId="259ED829" w14:textId="77777777" w:rsidR="007A384C" w:rsidRDefault="007A384C" w:rsidP="00A6484A">
      <w:pPr>
        <w:pStyle w:val="NormalWeb"/>
        <w:spacing w:before="0" w:beforeAutospacing="0" w:after="0" w:afterAutospacing="0"/>
        <w:jc w:val="both"/>
      </w:pPr>
    </w:p>
    <w:p w14:paraId="70075F5D" w14:textId="77777777" w:rsidR="007A384C" w:rsidRDefault="007A384C" w:rsidP="00A6484A">
      <w:pPr>
        <w:pStyle w:val="NormalWeb"/>
        <w:spacing w:before="0" w:beforeAutospacing="0" w:after="0" w:afterAutospacing="0"/>
        <w:jc w:val="both"/>
      </w:pPr>
    </w:p>
    <w:p w14:paraId="186F77EA" w14:textId="77777777" w:rsidR="00A6484A" w:rsidRDefault="00A6484A" w:rsidP="00A6484A">
      <w:pPr>
        <w:pStyle w:val="NormalWeb"/>
        <w:spacing w:before="0" w:beforeAutospacing="0" w:after="0" w:afterAutospacing="0"/>
        <w:jc w:val="both"/>
      </w:pPr>
      <w:r w:rsidRPr="005A3B62">
        <w:t>FLORIDA DEPARTMENT OF TRANSPORTATION</w:t>
      </w:r>
    </w:p>
    <w:p w14:paraId="0757FDD7" w14:textId="77777777" w:rsidR="00A6484A" w:rsidRDefault="00A6484A" w:rsidP="00A6484A">
      <w:pPr>
        <w:pStyle w:val="NormalWeb"/>
        <w:spacing w:before="0" w:beforeAutospacing="0" w:after="0" w:afterAutospacing="0"/>
        <w:jc w:val="both"/>
      </w:pPr>
    </w:p>
    <w:p w14:paraId="5DBD07AE" w14:textId="77777777" w:rsidR="007A384C" w:rsidRDefault="007A384C" w:rsidP="00A6484A">
      <w:pPr>
        <w:pStyle w:val="NormalWeb"/>
        <w:spacing w:before="0" w:beforeAutospacing="0" w:after="0" w:afterAutospacing="0"/>
        <w:jc w:val="both"/>
      </w:pPr>
    </w:p>
    <w:p w14:paraId="7A5E9A6A" w14:textId="77777777" w:rsidR="007A384C" w:rsidRDefault="007A384C" w:rsidP="00A6484A">
      <w:pPr>
        <w:pStyle w:val="NormalWeb"/>
        <w:spacing w:before="0" w:beforeAutospacing="0" w:after="0" w:afterAutospacing="0"/>
        <w:jc w:val="both"/>
      </w:pPr>
    </w:p>
    <w:p w14:paraId="55B1CC90" w14:textId="77777777" w:rsidR="00A6484A" w:rsidRDefault="00A6484A" w:rsidP="00A6484A">
      <w:pPr>
        <w:pStyle w:val="NormalWeb"/>
        <w:spacing w:before="0" w:beforeAutospacing="0" w:after="0" w:afterAutospacing="0"/>
        <w:jc w:val="both"/>
      </w:pPr>
    </w:p>
    <w:p w14:paraId="210197A4" w14:textId="77777777" w:rsidR="00A6484A" w:rsidRDefault="00A6484A" w:rsidP="00A6484A">
      <w:pPr>
        <w:pStyle w:val="NormalWeb"/>
        <w:spacing w:before="0" w:beforeAutospacing="0" w:after="0" w:afterAutospacing="0"/>
        <w:jc w:val="both"/>
      </w:pPr>
    </w:p>
    <w:p w14:paraId="22A27BE1" w14:textId="77777777" w:rsidR="00F3337F" w:rsidRPr="005A3B62" w:rsidRDefault="00F3337F" w:rsidP="00F3337F">
      <w:pPr>
        <w:pStyle w:val="NormalWeb"/>
        <w:spacing w:before="0" w:beforeAutospacing="0" w:after="0" w:afterAutospacing="0"/>
        <w:jc w:val="both"/>
      </w:pPr>
      <w:r w:rsidRPr="005A3B62">
        <w:t>___________________________________________ Date______________________________</w:t>
      </w:r>
    </w:p>
    <w:p w14:paraId="42A444D0" w14:textId="3919095E" w:rsidR="00A6484A" w:rsidRDefault="007A384C" w:rsidP="00A6484A">
      <w:pPr>
        <w:pStyle w:val="NormalWeb"/>
        <w:spacing w:before="0" w:beforeAutospacing="0" w:after="0" w:afterAutospacing="0"/>
        <w:jc w:val="both"/>
      </w:pPr>
      <w:r>
        <w:t>Jennifer Marshall, P.E.</w:t>
      </w:r>
    </w:p>
    <w:p w14:paraId="32F0CADC" w14:textId="52F2ABE6" w:rsidR="0046639C" w:rsidRDefault="00A6484A" w:rsidP="00A6484A">
      <w:pPr>
        <w:pStyle w:val="NormalWeb"/>
        <w:spacing w:before="0" w:beforeAutospacing="0" w:after="0" w:afterAutospacing="0"/>
        <w:jc w:val="both"/>
      </w:pPr>
      <w:r>
        <w:t>Director, Office of Environmental Management</w:t>
      </w:r>
    </w:p>
    <w:p w14:paraId="42B98586" w14:textId="29C2A024" w:rsidR="00A4774F" w:rsidRDefault="00A4774F" w:rsidP="00A6484A">
      <w:pPr>
        <w:pStyle w:val="NormalWeb"/>
        <w:spacing w:before="0" w:beforeAutospacing="0" w:after="0" w:afterAutospacing="0"/>
        <w:jc w:val="both"/>
      </w:pPr>
    </w:p>
    <w:p w14:paraId="2A86448B" w14:textId="6B40F4EA" w:rsidR="00A4774F" w:rsidRDefault="00A4774F" w:rsidP="00A6484A">
      <w:pPr>
        <w:pStyle w:val="NormalWeb"/>
        <w:spacing w:before="0" w:beforeAutospacing="0" w:after="0" w:afterAutospacing="0"/>
        <w:jc w:val="both"/>
      </w:pPr>
    </w:p>
    <w:p w14:paraId="2DCB8728" w14:textId="77777777" w:rsidR="007A384C" w:rsidRDefault="007A384C" w:rsidP="00A6484A">
      <w:pPr>
        <w:pStyle w:val="NormalWeb"/>
        <w:spacing w:before="0" w:beforeAutospacing="0" w:after="0" w:afterAutospacing="0"/>
        <w:jc w:val="both"/>
      </w:pPr>
    </w:p>
    <w:p w14:paraId="546E4AD5" w14:textId="77777777" w:rsidR="007A384C" w:rsidRDefault="007A384C" w:rsidP="00A6484A">
      <w:pPr>
        <w:pStyle w:val="NormalWeb"/>
        <w:spacing w:before="0" w:beforeAutospacing="0" w:after="0" w:afterAutospacing="0"/>
        <w:jc w:val="both"/>
      </w:pPr>
    </w:p>
    <w:p w14:paraId="543F612D" w14:textId="77777777" w:rsidR="007A384C" w:rsidRDefault="007A384C" w:rsidP="00A6484A">
      <w:pPr>
        <w:pStyle w:val="NormalWeb"/>
        <w:spacing w:before="0" w:beforeAutospacing="0" w:after="0" w:afterAutospacing="0"/>
        <w:jc w:val="both"/>
      </w:pPr>
    </w:p>
    <w:p w14:paraId="3600B8A8" w14:textId="77777777" w:rsidR="00A4774F" w:rsidRDefault="00A4774F" w:rsidP="00A6484A">
      <w:pPr>
        <w:pStyle w:val="NormalWeb"/>
        <w:spacing w:before="0" w:beforeAutospacing="0" w:after="0" w:afterAutospacing="0"/>
        <w:jc w:val="both"/>
      </w:pPr>
    </w:p>
    <w:p w14:paraId="1A958DF3" w14:textId="32602CAF" w:rsidR="00A4774F" w:rsidRPr="00A4774F" w:rsidRDefault="00A4774F" w:rsidP="00A4774F">
      <w:pPr>
        <w:pStyle w:val="NormalWeb"/>
        <w:spacing w:before="0" w:beforeAutospacing="0" w:after="240" w:afterAutospacing="0"/>
        <w:jc w:val="both"/>
        <w:rPr>
          <w:b/>
        </w:rPr>
      </w:pPr>
      <w:r w:rsidRPr="00A4774F">
        <w:rPr>
          <w:b/>
        </w:rPr>
        <w:t>CONCURRING PARTIES:</w:t>
      </w:r>
    </w:p>
    <w:p w14:paraId="433CB63A" w14:textId="77777777" w:rsidR="00A4774F" w:rsidRDefault="00A4774F" w:rsidP="00A4774F">
      <w:pPr>
        <w:pStyle w:val="NormalWeb"/>
        <w:spacing w:before="0" w:beforeAutospacing="0" w:after="0" w:afterAutospacing="0"/>
        <w:jc w:val="both"/>
      </w:pPr>
      <w:r>
        <w:t>FLORIDA DEPARTMENT OF TRANSPORTATION, DISTRICT [</w:t>
      </w:r>
      <w:r w:rsidRPr="007D2603">
        <w:rPr>
          <w:highlight w:val="yellow"/>
        </w:rPr>
        <w:t>x</w:t>
      </w:r>
      <w:r>
        <w:t>]</w:t>
      </w:r>
    </w:p>
    <w:p w14:paraId="0B27A05F" w14:textId="77777777" w:rsidR="00A4774F" w:rsidRDefault="00A4774F" w:rsidP="00A4774F">
      <w:pPr>
        <w:pStyle w:val="NormalWeb"/>
        <w:spacing w:before="0" w:beforeAutospacing="0" w:after="0" w:afterAutospacing="0"/>
        <w:jc w:val="both"/>
      </w:pPr>
    </w:p>
    <w:p w14:paraId="6CE208DE" w14:textId="77777777" w:rsidR="007A384C" w:rsidRDefault="007A384C" w:rsidP="00A4774F">
      <w:pPr>
        <w:pStyle w:val="NormalWeb"/>
        <w:spacing w:before="0" w:beforeAutospacing="0" w:after="0" w:afterAutospacing="0"/>
        <w:jc w:val="both"/>
      </w:pPr>
    </w:p>
    <w:p w14:paraId="22625145" w14:textId="77777777" w:rsidR="007A384C" w:rsidRDefault="007A384C" w:rsidP="00A4774F">
      <w:pPr>
        <w:pStyle w:val="NormalWeb"/>
        <w:spacing w:before="0" w:beforeAutospacing="0" w:after="0" w:afterAutospacing="0"/>
        <w:jc w:val="both"/>
      </w:pPr>
    </w:p>
    <w:p w14:paraId="0A401310" w14:textId="77777777" w:rsidR="00A4774F" w:rsidRDefault="00A4774F" w:rsidP="00A4774F">
      <w:pPr>
        <w:pStyle w:val="NormalWeb"/>
        <w:spacing w:before="0" w:beforeAutospacing="0" w:after="0" w:afterAutospacing="0"/>
        <w:jc w:val="both"/>
      </w:pPr>
    </w:p>
    <w:p w14:paraId="57280947" w14:textId="77777777" w:rsidR="00A4774F" w:rsidRDefault="00A4774F" w:rsidP="00A4774F">
      <w:pPr>
        <w:pStyle w:val="NormalWeb"/>
        <w:spacing w:before="0" w:beforeAutospacing="0" w:after="0" w:afterAutospacing="0"/>
        <w:jc w:val="both"/>
      </w:pPr>
    </w:p>
    <w:p w14:paraId="3D3BF6CA" w14:textId="77777777" w:rsidR="00F3337F" w:rsidRPr="005A3B62" w:rsidRDefault="00F3337F" w:rsidP="00F3337F">
      <w:pPr>
        <w:pStyle w:val="NormalWeb"/>
        <w:spacing w:before="0" w:beforeAutospacing="0" w:after="0" w:afterAutospacing="0"/>
        <w:jc w:val="both"/>
      </w:pPr>
      <w:r w:rsidRPr="005A3B62">
        <w:t>___________________________________________ Date______________________________</w:t>
      </w:r>
    </w:p>
    <w:p w14:paraId="26AB0BDB" w14:textId="77777777" w:rsidR="00A4774F" w:rsidRDefault="00A4774F" w:rsidP="00A4774F">
      <w:pPr>
        <w:pStyle w:val="NormalWeb"/>
        <w:spacing w:before="0" w:beforeAutospacing="0" w:after="0" w:afterAutospacing="0"/>
        <w:jc w:val="both"/>
      </w:pPr>
      <w:r>
        <w:t>[</w:t>
      </w:r>
      <w:r w:rsidRPr="007D2603">
        <w:rPr>
          <w:highlight w:val="yellow"/>
        </w:rPr>
        <w:t>Name</w:t>
      </w:r>
      <w:r>
        <w:t>]</w:t>
      </w:r>
    </w:p>
    <w:p w14:paraId="285D14A7" w14:textId="0AF2A562" w:rsidR="00A4774F" w:rsidRPr="0046639C" w:rsidRDefault="00A4774F" w:rsidP="00A4774F">
      <w:pPr>
        <w:pStyle w:val="NormalWeb"/>
        <w:spacing w:before="0" w:beforeAutospacing="0" w:after="0" w:afterAutospacing="0"/>
        <w:jc w:val="both"/>
        <w:rPr>
          <w:b/>
        </w:rPr>
      </w:pPr>
      <w:r>
        <w:t>Director, Transportation Development</w:t>
      </w:r>
    </w:p>
    <w:sectPr w:rsidR="00A4774F" w:rsidRPr="0046639C">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throck, Lindsay" w:date="2024-03-13T16:11:00Z" w:initials="LR">
    <w:p w14:paraId="64A7FB18" w14:textId="77777777" w:rsidR="00E64D0E" w:rsidRDefault="000D21F6" w:rsidP="00E64D0E">
      <w:pPr>
        <w:pStyle w:val="CommentText"/>
      </w:pPr>
      <w:r>
        <w:rPr>
          <w:rStyle w:val="CommentReference"/>
        </w:rPr>
        <w:annotationRef/>
      </w:r>
      <w:r w:rsidR="00E64D0E">
        <w:t>NOTE TO PREPARER:</w:t>
      </w:r>
    </w:p>
    <w:p w14:paraId="1B58B4BE" w14:textId="77777777" w:rsidR="00E64D0E" w:rsidRDefault="00E64D0E" w:rsidP="00E64D0E">
      <w:pPr>
        <w:pStyle w:val="CommentText"/>
      </w:pPr>
    </w:p>
    <w:p w14:paraId="351A9B84" w14:textId="77777777" w:rsidR="00E64D0E" w:rsidRDefault="00E64D0E" w:rsidP="00E64D0E">
      <w:pPr>
        <w:pStyle w:val="CommentText"/>
      </w:pPr>
      <w:r>
        <w:t xml:space="preserve">Only edit highlighted fields with project specifics. </w:t>
      </w:r>
    </w:p>
    <w:p w14:paraId="58CCDD29" w14:textId="77777777" w:rsidR="00E64D0E" w:rsidRDefault="00E64D0E" w:rsidP="00E64D0E">
      <w:pPr>
        <w:pStyle w:val="CommentText"/>
      </w:pPr>
    </w:p>
    <w:p w14:paraId="37F19A51" w14:textId="77777777" w:rsidR="00E64D0E" w:rsidRDefault="00E64D0E" w:rsidP="00E64D0E">
      <w:pPr>
        <w:pStyle w:val="CommentText"/>
      </w:pPr>
      <w:r>
        <w:t>Utilize track changes to facilitate OEM and OGC review of Draft MOAs.</w:t>
      </w:r>
    </w:p>
  </w:comment>
  <w:comment w:id="1" w:author="Rothrock, Lindsay" w:date="2024-03-12T14:16:00Z" w:initials="LR">
    <w:p w14:paraId="75F5316C" w14:textId="77777777" w:rsidR="00E64D0E" w:rsidRDefault="00840AC1" w:rsidP="00E64D0E">
      <w:pPr>
        <w:pStyle w:val="CommentText"/>
      </w:pPr>
      <w:r>
        <w:rPr>
          <w:rStyle w:val="CommentReference"/>
        </w:rPr>
        <w:annotationRef/>
      </w:r>
      <w:r w:rsidR="00E64D0E">
        <w:t xml:space="preserve">NOTE TO PREPARER: </w:t>
      </w:r>
    </w:p>
    <w:p w14:paraId="7A2A0E2C" w14:textId="77777777" w:rsidR="00E64D0E" w:rsidRDefault="00E64D0E" w:rsidP="00E64D0E">
      <w:pPr>
        <w:pStyle w:val="CommentText"/>
      </w:pPr>
      <w:r>
        <w:t xml:space="preserve"> </w:t>
      </w:r>
      <w:r>
        <w:br/>
        <w:t>Include relevant time constraints for each stipulation. i.e. “Prior to authorizing any demolition or other activity that could damage (HISTORIC PROPERTY)</w:t>
      </w:r>
    </w:p>
  </w:comment>
  <w:comment w:id="3" w:author="Rothrock, Lindsay" w:date="2024-03-13T16:12:00Z" w:initials="LR">
    <w:p w14:paraId="387C3327" w14:textId="77777777" w:rsidR="00E64D0E" w:rsidRDefault="00137FA1" w:rsidP="00E64D0E">
      <w:pPr>
        <w:pStyle w:val="CommentText"/>
      </w:pPr>
      <w:r>
        <w:rPr>
          <w:rStyle w:val="CommentReference"/>
        </w:rPr>
        <w:annotationRef/>
      </w:r>
      <w:r w:rsidR="00E64D0E">
        <w:t>NOTE TO PREPARER:</w:t>
      </w:r>
    </w:p>
    <w:p w14:paraId="0FC33BA3" w14:textId="77777777" w:rsidR="00E64D0E" w:rsidRDefault="00E64D0E" w:rsidP="00E64D0E">
      <w:pPr>
        <w:pStyle w:val="CommentText"/>
      </w:pPr>
    </w:p>
    <w:p w14:paraId="4757E7EC" w14:textId="77777777" w:rsidR="00E64D0E" w:rsidRDefault="00E64D0E" w:rsidP="00E64D0E">
      <w:pPr>
        <w:pStyle w:val="CommentText"/>
      </w:pPr>
      <w:r>
        <w:t>Can be removed entirely if not applicable to the historic property at hand.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F19A51" w15:done="0"/>
  <w15:commentEx w15:paraId="7A2A0E2C" w15:done="0"/>
  <w15:commentEx w15:paraId="4757E7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8C5233" w16cex:dateUtc="2024-03-13T20:11:00Z"/>
  <w16cex:commentExtensible w16cex:durableId="316862F4" w16cex:dateUtc="2024-03-12T18:16:00Z"/>
  <w16cex:commentExtensible w16cex:durableId="353C592C" w16cex:dateUtc="2024-03-13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F19A51" w16cid:durableId="008C5233"/>
  <w16cid:commentId w16cid:paraId="7A2A0E2C" w16cid:durableId="316862F4"/>
  <w16cid:commentId w16cid:paraId="4757E7EC" w16cid:durableId="353C59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7023E" w14:textId="77777777" w:rsidR="00CA1C4B" w:rsidRDefault="00CA1C4B" w:rsidP="00256C33">
      <w:r>
        <w:separator/>
      </w:r>
    </w:p>
    <w:p w14:paraId="1F0DBC46" w14:textId="77777777" w:rsidR="00CA1C4B" w:rsidRDefault="00CA1C4B"/>
  </w:endnote>
  <w:endnote w:type="continuationSeparator" w:id="0">
    <w:p w14:paraId="2E1F98A5" w14:textId="77777777" w:rsidR="00CA1C4B" w:rsidRDefault="00CA1C4B" w:rsidP="00256C33">
      <w:r>
        <w:continuationSeparator/>
      </w:r>
    </w:p>
    <w:p w14:paraId="0D2FAF50" w14:textId="77777777" w:rsidR="00CA1C4B" w:rsidRDefault="00CA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401570"/>
      <w:docPartObj>
        <w:docPartGallery w:val="Page Numbers (Bottom of Page)"/>
        <w:docPartUnique/>
      </w:docPartObj>
    </w:sdtPr>
    <w:sdtEndPr>
      <w:rPr>
        <w:noProof/>
      </w:rPr>
    </w:sdtEndPr>
    <w:sdtContent>
      <w:p w14:paraId="6C11E0E8" w14:textId="57A2DEF5" w:rsidR="0069733A" w:rsidRDefault="0069733A">
        <w:pPr>
          <w:jc w:val="center"/>
        </w:pPr>
        <w:r>
          <w:fldChar w:fldCharType="begin"/>
        </w:r>
        <w:r>
          <w:instrText xml:space="preserve"> PAGE   \* MERGEFORMAT </w:instrText>
        </w:r>
        <w:r>
          <w:fldChar w:fldCharType="separate"/>
        </w:r>
        <w:r w:rsidR="008F0168">
          <w:rPr>
            <w:noProof/>
          </w:rPr>
          <w:t>4</w:t>
        </w:r>
        <w:r>
          <w:rPr>
            <w:noProof/>
          </w:rPr>
          <w:fldChar w:fldCharType="end"/>
        </w:r>
      </w:p>
    </w:sdtContent>
  </w:sdt>
  <w:p w14:paraId="04EE09F6" w14:textId="77777777" w:rsidR="0069733A" w:rsidRDefault="0069733A"/>
  <w:p w14:paraId="3B00E893" w14:textId="77777777" w:rsidR="0069733A" w:rsidRDefault="006973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B14B8" w14:textId="77777777" w:rsidR="00CA1C4B" w:rsidRDefault="00CA1C4B" w:rsidP="00256C33">
      <w:r>
        <w:separator/>
      </w:r>
    </w:p>
    <w:p w14:paraId="2016B21C" w14:textId="77777777" w:rsidR="00CA1C4B" w:rsidRDefault="00CA1C4B"/>
  </w:footnote>
  <w:footnote w:type="continuationSeparator" w:id="0">
    <w:p w14:paraId="34E15533" w14:textId="77777777" w:rsidR="00CA1C4B" w:rsidRDefault="00CA1C4B" w:rsidP="00256C33">
      <w:r>
        <w:continuationSeparator/>
      </w:r>
    </w:p>
    <w:p w14:paraId="438E5ADF" w14:textId="77777777" w:rsidR="00CA1C4B" w:rsidRDefault="00CA1C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EF0D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40EA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044D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BA1E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F6F9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648A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61E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8A9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B0DE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A8F7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E2A0D"/>
    <w:multiLevelType w:val="multilevel"/>
    <w:tmpl w:val="806C31AE"/>
    <w:lvl w:ilvl="0">
      <w:start w:val="1"/>
      <w:numFmt w:val="upperRoman"/>
      <w:lvlText w:val="%1)"/>
      <w:lvlJc w:val="left"/>
      <w:pPr>
        <w:ind w:left="0" w:firstLine="0"/>
      </w:pPr>
      <w:rPr>
        <w:rFonts w:hint="default"/>
      </w:rPr>
    </w:lvl>
    <w:lvl w:ilvl="1">
      <w:start w:val="1"/>
      <w:numFmt w:val="upperLetter"/>
      <w:lvlText w:val="%2)"/>
      <w:lvlJc w:val="left"/>
      <w:pPr>
        <w:ind w:left="36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65241C"/>
    <w:multiLevelType w:val="multilevel"/>
    <w:tmpl w:val="806C31AE"/>
    <w:lvl w:ilvl="0">
      <w:start w:val="1"/>
      <w:numFmt w:val="upperRoman"/>
      <w:lvlText w:val="%1)"/>
      <w:lvlJc w:val="left"/>
      <w:pPr>
        <w:ind w:left="0" w:firstLine="0"/>
      </w:pPr>
      <w:rPr>
        <w:rFonts w:hint="default"/>
      </w:rPr>
    </w:lvl>
    <w:lvl w:ilvl="1">
      <w:start w:val="1"/>
      <w:numFmt w:val="upperLetter"/>
      <w:lvlText w:val="%2)"/>
      <w:lvlJc w:val="left"/>
      <w:pPr>
        <w:ind w:left="36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6C4283"/>
    <w:multiLevelType w:val="multilevel"/>
    <w:tmpl w:val="683E7B2C"/>
    <w:lvl w:ilvl="0">
      <w:start w:val="1"/>
      <w:numFmt w:val="upperRoman"/>
      <w:pStyle w:val="Heading1"/>
      <w:suff w:val="space"/>
      <w:lvlText w:val="%1."/>
      <w:lvlJc w:val="left"/>
      <w:pPr>
        <w:ind w:left="0" w:firstLine="0"/>
      </w:pPr>
      <w:rPr>
        <w:rFonts w:ascii="Times New Roman" w:hAnsi="Times New Roman" w:hint="default"/>
        <w:b/>
        <w:bCs/>
        <w:i w:val="0"/>
        <w:strike w:val="0"/>
        <w:dstrike w:val="0"/>
        <w:vanish w:val="0"/>
        <w:color w:val="auto"/>
        <w:sz w:val="24"/>
        <w:vertAlign w:val="baseline"/>
      </w:rPr>
    </w:lvl>
    <w:lvl w:ilvl="1">
      <w:start w:val="1"/>
      <w:numFmt w:val="upperLetter"/>
      <w:pStyle w:val="Heading3"/>
      <w:suff w:val="space"/>
      <w:lvlText w:val="%2."/>
      <w:lvlJc w:val="left"/>
      <w:pPr>
        <w:ind w:left="360" w:firstLine="0"/>
      </w:pPr>
      <w:rPr>
        <w:rFonts w:ascii="Times New Roman" w:hAnsi="Times New Roman" w:hint="default"/>
        <w:b w:val="0"/>
        <w:i w:val="0"/>
        <w:strike w:val="0"/>
        <w:dstrike w:val="0"/>
        <w:vanish w:val="0"/>
        <w:color w:val="auto"/>
        <w:sz w:val="24"/>
        <w:vertAlign w:val="baseline"/>
      </w:rPr>
    </w:lvl>
    <w:lvl w:ilvl="2">
      <w:start w:val="1"/>
      <w:numFmt w:val="decimal"/>
      <w:pStyle w:val="Heading4"/>
      <w:suff w:val="space"/>
      <w:lvlText w:val="%3."/>
      <w:lvlJc w:val="left"/>
      <w:pPr>
        <w:ind w:left="720" w:firstLine="0"/>
      </w:pPr>
      <w:rPr>
        <w:rFonts w:ascii="Times New Roman" w:hAnsi="Times New Roman" w:hint="default"/>
        <w:b w:val="0"/>
        <w:i w:val="0"/>
        <w:caps w:val="0"/>
        <w:strike w:val="0"/>
        <w:dstrike w:val="0"/>
        <w:vanish w:val="0"/>
        <w:color w:val="auto"/>
        <w:sz w:val="24"/>
        <w:vertAlign w:val="baseline"/>
      </w:rPr>
    </w:lvl>
    <w:lvl w:ilvl="3">
      <w:start w:val="1"/>
      <w:numFmt w:val="lowerLetter"/>
      <w:suff w:val="space"/>
      <w:lvlText w:val="%4."/>
      <w:lvlJc w:val="left"/>
      <w:pPr>
        <w:ind w:left="1440" w:hanging="360"/>
      </w:pPr>
      <w:rPr>
        <w:rFonts w:ascii="Times New Roman" w:hAnsi="Times New Roman" w:hint="default"/>
        <w:b w:val="0"/>
        <w:i w:val="0"/>
        <w:caps w:val="0"/>
        <w:strike w:val="0"/>
        <w:dstrike w:val="0"/>
        <w:vanish w:val="0"/>
        <w:color w:val="auto"/>
        <w:sz w:val="24"/>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BA5B45"/>
    <w:multiLevelType w:val="multilevel"/>
    <w:tmpl w:val="A9A473AE"/>
    <w:lvl w:ilvl="0">
      <w:start w:val="1"/>
      <w:numFmt w:val="upperRoman"/>
      <w:suff w:val="space"/>
      <w:lvlText w:val="%1."/>
      <w:lvlJc w:val="left"/>
      <w:pPr>
        <w:ind w:left="0" w:firstLine="0"/>
      </w:pPr>
      <w:rPr>
        <w:rFonts w:ascii="Times New Roman" w:hAnsi="Times New Roman" w:hint="default"/>
        <w:b w:val="0"/>
        <w:i w:val="0"/>
        <w:strike w:val="0"/>
        <w:dstrike w:val="0"/>
        <w:vanish w:val="0"/>
        <w:color w:val="auto"/>
        <w:sz w:val="24"/>
        <w:vertAlign w:val="baseline"/>
      </w:rPr>
    </w:lvl>
    <w:lvl w:ilvl="1">
      <w:start w:val="1"/>
      <w:numFmt w:val="upperLetter"/>
      <w:suff w:val="space"/>
      <w:lvlText w:val="%2."/>
      <w:lvlJc w:val="left"/>
      <w:pPr>
        <w:ind w:left="360" w:firstLine="0"/>
      </w:pPr>
      <w:rPr>
        <w:rFonts w:ascii="Times New Roman" w:hAnsi="Times New Roman" w:hint="default"/>
        <w:b w:val="0"/>
        <w:i w:val="0"/>
        <w:strike w:val="0"/>
        <w:dstrike w:val="0"/>
        <w:vanish w:val="0"/>
        <w:color w:val="auto"/>
        <w:sz w:val="24"/>
        <w:vertAlign w:val="baseline"/>
      </w:rPr>
    </w:lvl>
    <w:lvl w:ilvl="2">
      <w:start w:val="1"/>
      <w:numFmt w:val="decimal"/>
      <w:suff w:val="space"/>
      <w:lvlText w:val="%3."/>
      <w:lvlJc w:val="left"/>
      <w:pPr>
        <w:ind w:left="720" w:firstLine="0"/>
      </w:pPr>
      <w:rPr>
        <w:rFonts w:ascii="Times New Roman" w:hAnsi="Times New Roman" w:hint="default"/>
        <w:b w:val="0"/>
        <w:i w:val="0"/>
        <w:caps w:val="0"/>
        <w:strike w:val="0"/>
        <w:dstrike w:val="0"/>
        <w:vanish w:val="0"/>
        <w:color w:val="auto"/>
        <w:sz w:val="24"/>
        <w:vertAlign w:val="baseline"/>
      </w:rPr>
    </w:lvl>
    <w:lvl w:ilvl="3">
      <w:start w:val="1"/>
      <w:numFmt w:val="lowerLetter"/>
      <w:suff w:val="space"/>
      <w:lvlText w:val="%4."/>
      <w:lvlJc w:val="left"/>
      <w:pPr>
        <w:ind w:left="1440" w:hanging="360"/>
      </w:pPr>
      <w:rPr>
        <w:rFonts w:ascii="Times New Roman" w:hAnsi="Times New Roman" w:hint="default"/>
        <w:b w:val="0"/>
        <w:i w:val="0"/>
        <w:caps w:val="0"/>
        <w:strike w:val="0"/>
        <w:dstrike w:val="0"/>
        <w:vanish w:val="0"/>
        <w:color w:val="auto"/>
        <w:sz w:val="24"/>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430831">
    <w:abstractNumId w:val="11"/>
  </w:num>
  <w:num w:numId="2" w16cid:durableId="675301515">
    <w:abstractNumId w:val="10"/>
  </w:num>
  <w:num w:numId="3" w16cid:durableId="410664384">
    <w:abstractNumId w:val="13"/>
  </w:num>
  <w:num w:numId="4" w16cid:durableId="1867911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91895">
    <w:abstractNumId w:val="12"/>
  </w:num>
  <w:num w:numId="6" w16cid:durableId="698700167">
    <w:abstractNumId w:val="9"/>
  </w:num>
  <w:num w:numId="7" w16cid:durableId="1026829875">
    <w:abstractNumId w:val="8"/>
  </w:num>
  <w:num w:numId="8" w16cid:durableId="1517572873">
    <w:abstractNumId w:val="7"/>
  </w:num>
  <w:num w:numId="9" w16cid:durableId="1288395358">
    <w:abstractNumId w:val="6"/>
  </w:num>
  <w:num w:numId="10" w16cid:durableId="171455890">
    <w:abstractNumId w:val="5"/>
  </w:num>
  <w:num w:numId="11" w16cid:durableId="642545655">
    <w:abstractNumId w:val="4"/>
  </w:num>
  <w:num w:numId="12" w16cid:durableId="1423182813">
    <w:abstractNumId w:val="3"/>
  </w:num>
  <w:num w:numId="13" w16cid:durableId="415633550">
    <w:abstractNumId w:val="2"/>
  </w:num>
  <w:num w:numId="14" w16cid:durableId="995038737">
    <w:abstractNumId w:val="1"/>
  </w:num>
  <w:num w:numId="15" w16cid:durableId="1367636397">
    <w:abstractNumId w:val="0"/>
  </w:num>
  <w:num w:numId="16" w16cid:durableId="783423491">
    <w:abstractNumId w:val="12"/>
    <w:lvlOverride w:ilvl="0">
      <w:startOverride w:val="1"/>
    </w:lvlOverride>
    <w:lvlOverride w:ilvl="1">
      <w:startOverride w:val="19"/>
    </w:lvlOverride>
  </w:num>
  <w:num w:numId="17" w16cid:durableId="1828475892">
    <w:abstractNumId w:val="12"/>
    <w:lvlOverride w:ilvl="0">
      <w:startOverride w:val="1"/>
    </w:lvlOverride>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throck, Lindsay">
    <w15:presenceInfo w15:providerId="AD" w15:userId="S::Lindsay.Rothrock@dot.state.fl.us::dbf0c1e6-0956-4519-b7da-217ab1a82d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EA"/>
    <w:rsid w:val="00055FF5"/>
    <w:rsid w:val="000D21F6"/>
    <w:rsid w:val="0010734A"/>
    <w:rsid w:val="00137FA1"/>
    <w:rsid w:val="00143A57"/>
    <w:rsid w:val="001C0987"/>
    <w:rsid w:val="001C1432"/>
    <w:rsid w:val="001F2ADC"/>
    <w:rsid w:val="00252261"/>
    <w:rsid w:val="00256C33"/>
    <w:rsid w:val="002575E4"/>
    <w:rsid w:val="00261303"/>
    <w:rsid w:val="002B165E"/>
    <w:rsid w:val="002D4642"/>
    <w:rsid w:val="002F6828"/>
    <w:rsid w:val="003241BD"/>
    <w:rsid w:val="00334C04"/>
    <w:rsid w:val="003444F0"/>
    <w:rsid w:val="00346383"/>
    <w:rsid w:val="00346EAA"/>
    <w:rsid w:val="003F222C"/>
    <w:rsid w:val="003F74BA"/>
    <w:rsid w:val="004062EA"/>
    <w:rsid w:val="0041000D"/>
    <w:rsid w:val="00424AF6"/>
    <w:rsid w:val="0042713A"/>
    <w:rsid w:val="00433E1A"/>
    <w:rsid w:val="00450852"/>
    <w:rsid w:val="00464365"/>
    <w:rsid w:val="0046639C"/>
    <w:rsid w:val="004856D9"/>
    <w:rsid w:val="004E4E16"/>
    <w:rsid w:val="004F56FD"/>
    <w:rsid w:val="00510EBC"/>
    <w:rsid w:val="00531369"/>
    <w:rsid w:val="00561A17"/>
    <w:rsid w:val="0057210E"/>
    <w:rsid w:val="005910C5"/>
    <w:rsid w:val="005B0B2E"/>
    <w:rsid w:val="005C720F"/>
    <w:rsid w:val="005F77CE"/>
    <w:rsid w:val="0061261A"/>
    <w:rsid w:val="00640FBD"/>
    <w:rsid w:val="00691E1A"/>
    <w:rsid w:val="0069733A"/>
    <w:rsid w:val="006A0E41"/>
    <w:rsid w:val="006C634D"/>
    <w:rsid w:val="006D61FD"/>
    <w:rsid w:val="006E32C2"/>
    <w:rsid w:val="006F03E1"/>
    <w:rsid w:val="00765474"/>
    <w:rsid w:val="007739A3"/>
    <w:rsid w:val="00782DB7"/>
    <w:rsid w:val="0079347C"/>
    <w:rsid w:val="007A384C"/>
    <w:rsid w:val="007D2603"/>
    <w:rsid w:val="007D5293"/>
    <w:rsid w:val="00817A7F"/>
    <w:rsid w:val="00834588"/>
    <w:rsid w:val="00840AC1"/>
    <w:rsid w:val="00844107"/>
    <w:rsid w:val="00853AB9"/>
    <w:rsid w:val="00866B17"/>
    <w:rsid w:val="008E4798"/>
    <w:rsid w:val="008F0168"/>
    <w:rsid w:val="0090758F"/>
    <w:rsid w:val="00944D88"/>
    <w:rsid w:val="009522EB"/>
    <w:rsid w:val="00952DEA"/>
    <w:rsid w:val="00981F78"/>
    <w:rsid w:val="00982DDC"/>
    <w:rsid w:val="009A6DB9"/>
    <w:rsid w:val="00A1285B"/>
    <w:rsid w:val="00A437AB"/>
    <w:rsid w:val="00A4774F"/>
    <w:rsid w:val="00A6484A"/>
    <w:rsid w:val="00A672A1"/>
    <w:rsid w:val="00A73390"/>
    <w:rsid w:val="00A7680E"/>
    <w:rsid w:val="00AA12E6"/>
    <w:rsid w:val="00AC4098"/>
    <w:rsid w:val="00B72118"/>
    <w:rsid w:val="00B9188D"/>
    <w:rsid w:val="00BA42A8"/>
    <w:rsid w:val="00BB0AF4"/>
    <w:rsid w:val="00BE0BC1"/>
    <w:rsid w:val="00C570F2"/>
    <w:rsid w:val="00C8687D"/>
    <w:rsid w:val="00CA1C4B"/>
    <w:rsid w:val="00CD2682"/>
    <w:rsid w:val="00CD6A08"/>
    <w:rsid w:val="00D375E1"/>
    <w:rsid w:val="00D713EE"/>
    <w:rsid w:val="00D7299D"/>
    <w:rsid w:val="00DF56C5"/>
    <w:rsid w:val="00E26204"/>
    <w:rsid w:val="00E27A32"/>
    <w:rsid w:val="00E64D0E"/>
    <w:rsid w:val="00E70F2A"/>
    <w:rsid w:val="00EA1998"/>
    <w:rsid w:val="00EF64DD"/>
    <w:rsid w:val="00EF6837"/>
    <w:rsid w:val="00F3337F"/>
    <w:rsid w:val="00F46746"/>
    <w:rsid w:val="00F83EFA"/>
    <w:rsid w:val="00FB6833"/>
    <w:rsid w:val="00F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6307"/>
  <w15:chartTrackingRefBased/>
  <w15:docId w15:val="{5B75BC72-E213-4EC6-BD85-9BB8C6E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2A1"/>
    <w:pPr>
      <w:spacing w:after="0" w:line="240" w:lineRule="auto"/>
    </w:pPr>
    <w:rPr>
      <w:rFonts w:ascii="Times New Roman" w:eastAsia="Times New Roman" w:hAnsi="Times New Roman" w:cs="Times New Roman"/>
      <w:sz w:val="24"/>
      <w:szCs w:val="24"/>
    </w:rPr>
  </w:style>
  <w:style w:type="paragraph" w:styleId="Heading1">
    <w:name w:val="heading 1"/>
    <w:aliases w:val="Stipulation Heading"/>
    <w:basedOn w:val="Normal"/>
    <w:next w:val="Heading2"/>
    <w:link w:val="Heading1Char"/>
    <w:uiPriority w:val="9"/>
    <w:qFormat/>
    <w:rsid w:val="00A672A1"/>
    <w:pPr>
      <w:numPr>
        <w:numId w:val="5"/>
      </w:numPr>
      <w:spacing w:after="240"/>
      <w:jc w:val="both"/>
      <w:outlineLvl w:val="0"/>
    </w:pPr>
    <w:rPr>
      <w:b/>
    </w:rPr>
  </w:style>
  <w:style w:type="paragraph" w:styleId="Heading2">
    <w:name w:val="heading 2"/>
    <w:aliases w:val="Stipulation body text"/>
    <w:basedOn w:val="Normal"/>
    <w:next w:val="Heading1"/>
    <w:link w:val="Heading2Char"/>
    <w:uiPriority w:val="9"/>
    <w:unhideWhenUsed/>
    <w:qFormat/>
    <w:rsid w:val="00A672A1"/>
    <w:pPr>
      <w:spacing w:after="240"/>
      <w:jc w:val="both"/>
      <w:outlineLvl w:val="1"/>
    </w:pPr>
  </w:style>
  <w:style w:type="paragraph" w:styleId="Heading3">
    <w:name w:val="heading 3"/>
    <w:aliases w:val="Stipulation subtext 1"/>
    <w:basedOn w:val="Heading1"/>
    <w:next w:val="Normal"/>
    <w:link w:val="Heading3Char"/>
    <w:uiPriority w:val="9"/>
    <w:unhideWhenUsed/>
    <w:qFormat/>
    <w:rsid w:val="00A7680E"/>
    <w:pPr>
      <w:numPr>
        <w:ilvl w:val="1"/>
      </w:numPr>
      <w:outlineLvl w:val="2"/>
    </w:pPr>
    <w:rPr>
      <w:b w:val="0"/>
    </w:rPr>
  </w:style>
  <w:style w:type="paragraph" w:styleId="Heading4">
    <w:name w:val="heading 4"/>
    <w:aliases w:val="Stipulation subtext 2"/>
    <w:basedOn w:val="Heading3"/>
    <w:next w:val="Normal"/>
    <w:link w:val="Heading4Char"/>
    <w:uiPriority w:val="9"/>
    <w:unhideWhenUsed/>
    <w:qFormat/>
    <w:rsid w:val="00982DDC"/>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D6B5B"/>
    <w:rPr>
      <w:sz w:val="16"/>
      <w:szCs w:val="16"/>
    </w:rPr>
  </w:style>
  <w:style w:type="paragraph" w:styleId="CommentText">
    <w:name w:val="annotation text"/>
    <w:basedOn w:val="Normal"/>
    <w:link w:val="CommentTextChar"/>
    <w:semiHidden/>
    <w:rsid w:val="00FD6B5B"/>
    <w:rPr>
      <w:sz w:val="20"/>
      <w:szCs w:val="20"/>
    </w:rPr>
  </w:style>
  <w:style w:type="character" w:customStyle="1" w:styleId="CommentTextChar">
    <w:name w:val="Comment Text Char"/>
    <w:basedOn w:val="DefaultParagraphFont"/>
    <w:link w:val="CommentText"/>
    <w:semiHidden/>
    <w:rsid w:val="00FD6B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6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B5B"/>
    <w:rPr>
      <w:rFonts w:ascii="Segoe UI" w:eastAsia="Times New Roman" w:hAnsi="Segoe UI" w:cs="Segoe UI"/>
      <w:sz w:val="18"/>
      <w:szCs w:val="18"/>
    </w:rPr>
  </w:style>
  <w:style w:type="paragraph" w:customStyle="1" w:styleId="WhereasClause">
    <w:name w:val="Whereas Clause"/>
    <w:basedOn w:val="Normal"/>
    <w:autoRedefine/>
    <w:qFormat/>
    <w:rsid w:val="00DF56C5"/>
    <w:pPr>
      <w:ind w:firstLine="720"/>
      <w:jc w:val="both"/>
    </w:pPr>
  </w:style>
  <w:style w:type="paragraph" w:customStyle="1" w:styleId="1stLevelHeading">
    <w:name w:val="1st Level Heading"/>
    <w:basedOn w:val="Normal"/>
    <w:next w:val="WhereasClause"/>
    <w:qFormat/>
    <w:rsid w:val="00FD6B5B"/>
    <w:pPr>
      <w:jc w:val="center"/>
    </w:pPr>
    <w:rPr>
      <w:b/>
    </w:rPr>
  </w:style>
  <w:style w:type="paragraph" w:styleId="NormalWeb">
    <w:name w:val="Normal (Web)"/>
    <w:basedOn w:val="Normal"/>
    <w:rsid w:val="001C1432"/>
    <w:pPr>
      <w:spacing w:before="100" w:beforeAutospacing="1" w:after="100" w:afterAutospacing="1"/>
    </w:pPr>
  </w:style>
  <w:style w:type="character" w:customStyle="1" w:styleId="Heading1Char">
    <w:name w:val="Heading 1 Char"/>
    <w:aliases w:val="Stipulation Heading Char"/>
    <w:basedOn w:val="DefaultParagraphFont"/>
    <w:link w:val="Heading1"/>
    <w:uiPriority w:val="9"/>
    <w:rsid w:val="00A7680E"/>
    <w:rPr>
      <w:rFonts w:ascii="Times New Roman" w:eastAsia="Times New Roman" w:hAnsi="Times New Roman" w:cs="Times New Roman"/>
      <w:b/>
      <w:sz w:val="24"/>
      <w:szCs w:val="24"/>
    </w:rPr>
  </w:style>
  <w:style w:type="character" w:customStyle="1" w:styleId="Heading3Char">
    <w:name w:val="Heading 3 Char"/>
    <w:aliases w:val="Stipulation subtext 1 Char"/>
    <w:basedOn w:val="DefaultParagraphFont"/>
    <w:link w:val="Heading3"/>
    <w:uiPriority w:val="9"/>
    <w:rsid w:val="00A7680E"/>
    <w:rPr>
      <w:rFonts w:ascii="Times New Roman" w:eastAsia="Times New Roman" w:hAnsi="Times New Roman" w:cs="Times New Roman"/>
      <w:sz w:val="24"/>
      <w:szCs w:val="24"/>
    </w:rPr>
  </w:style>
  <w:style w:type="character" w:customStyle="1" w:styleId="Heading2Char">
    <w:name w:val="Heading 2 Char"/>
    <w:aliases w:val="Stipulation body text Char"/>
    <w:basedOn w:val="DefaultParagraphFont"/>
    <w:link w:val="Heading2"/>
    <w:uiPriority w:val="9"/>
    <w:rsid w:val="00982DDC"/>
    <w:rPr>
      <w:rFonts w:ascii="Times New Roman" w:eastAsia="Times New Roman" w:hAnsi="Times New Roman" w:cs="Times New Roman"/>
      <w:sz w:val="24"/>
      <w:szCs w:val="24"/>
    </w:rPr>
  </w:style>
  <w:style w:type="character" w:customStyle="1" w:styleId="Heading4Char">
    <w:name w:val="Heading 4 Char"/>
    <w:aliases w:val="Stipulation subtext 2 Char"/>
    <w:basedOn w:val="DefaultParagraphFont"/>
    <w:link w:val="Heading4"/>
    <w:uiPriority w:val="9"/>
    <w:rsid w:val="00982DD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E32C2"/>
    <w:rPr>
      <w:b/>
      <w:bCs/>
    </w:rPr>
  </w:style>
  <w:style w:type="character" w:customStyle="1" w:styleId="CommentSubjectChar">
    <w:name w:val="Comment Subject Char"/>
    <w:basedOn w:val="CommentTextChar"/>
    <w:link w:val="CommentSubject"/>
    <w:uiPriority w:val="99"/>
    <w:semiHidden/>
    <w:rsid w:val="006E32C2"/>
    <w:rPr>
      <w:rFonts w:ascii="Times New Roman" w:eastAsia="Times New Roman" w:hAnsi="Times New Roman" w:cs="Times New Roman"/>
      <w:b/>
      <w:bCs/>
      <w:sz w:val="20"/>
      <w:szCs w:val="20"/>
    </w:rPr>
  </w:style>
  <w:style w:type="paragraph" w:styleId="Revision">
    <w:name w:val="Revision"/>
    <w:hidden/>
    <w:uiPriority w:val="99"/>
    <w:semiHidden/>
    <w:rsid w:val="006126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F433-EB59-4617-ACA6-64EF96B8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FDOT MOA Template</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FDOT MOA Template</dc:title>
  <dc:subject/>
  <dc:creator>Marino, Matthew</dc:creator>
  <cp:keywords/>
  <dc:description/>
  <cp:lastModifiedBy>Rothrock, Lindsay</cp:lastModifiedBy>
  <cp:revision>2</cp:revision>
  <dcterms:created xsi:type="dcterms:W3CDTF">2024-10-29T19:04:00Z</dcterms:created>
  <dcterms:modified xsi:type="dcterms:W3CDTF">2024-10-29T19:04:00Z</dcterms:modified>
</cp:coreProperties>
</file>