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AD408" w14:textId="6C24C311" w:rsidR="003C28C4" w:rsidRPr="0029221D" w:rsidRDefault="0095090E" w:rsidP="0029221D">
      <w:pPr>
        <w:pStyle w:val="NoSpacing"/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221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Minimum </w:t>
      </w:r>
      <w:r w:rsidR="000573D3" w:rsidRPr="0029221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Review </w:t>
      </w:r>
      <w:r w:rsidRPr="0029221D">
        <w:rPr>
          <w:rFonts w:ascii="Times New Roman" w:hAnsi="Times New Roman" w:cs="Times New Roman"/>
          <w:b/>
          <w:bCs/>
          <w:sz w:val="32"/>
          <w:szCs w:val="32"/>
          <w:u w:val="single"/>
        </w:rPr>
        <w:t>Documentation</w:t>
      </w:r>
      <w:r w:rsidR="00297FED" w:rsidRPr="0029221D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Requirements</w:t>
      </w:r>
    </w:p>
    <w:p w14:paraId="3D73933D" w14:textId="7160B1E3" w:rsidR="003F6B5C" w:rsidRPr="0029221D" w:rsidRDefault="003F6B5C" w:rsidP="0029221D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Division Involvement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EC6" w:rsidRPr="0029221D">
        <w:rPr>
          <w:rFonts w:ascii="Times New Roman" w:hAnsi="Times New Roman" w:cs="Times New Roman"/>
          <w:sz w:val="24"/>
          <w:szCs w:val="24"/>
        </w:rPr>
        <w:t xml:space="preserve">- </w:t>
      </w:r>
      <w:r w:rsidR="003774DF" w:rsidRPr="0029221D">
        <w:rPr>
          <w:rFonts w:ascii="Times New Roman" w:hAnsi="Times New Roman" w:cs="Times New Roman"/>
          <w:sz w:val="24"/>
          <w:szCs w:val="24"/>
        </w:rPr>
        <w:t xml:space="preserve">Provide the name of the federal, state, or local authority and the applicable law, ordinance, </w:t>
      </w:r>
      <w:proofErr w:type="gramStart"/>
      <w:r w:rsidR="003774DF" w:rsidRPr="0029221D">
        <w:rPr>
          <w:rFonts w:ascii="Times New Roman" w:hAnsi="Times New Roman" w:cs="Times New Roman"/>
          <w:sz w:val="24"/>
          <w:szCs w:val="24"/>
        </w:rPr>
        <w:t>license</w:t>
      </w:r>
      <w:proofErr w:type="gramEnd"/>
      <w:r w:rsidR="003774DF" w:rsidRPr="0029221D">
        <w:rPr>
          <w:rFonts w:ascii="Times New Roman" w:hAnsi="Times New Roman" w:cs="Times New Roman"/>
          <w:sz w:val="24"/>
          <w:szCs w:val="24"/>
        </w:rPr>
        <w:t xml:space="preserve"> or permit requiring the Division of Historical Resources (DHR) and/ or the State Historic Preservation (SHPO) review.</w:t>
      </w:r>
    </w:p>
    <w:p w14:paraId="3977FF7E" w14:textId="1635AA8D" w:rsidR="000573D3" w:rsidRPr="0029221D" w:rsidRDefault="003F6B5C" w:rsidP="0029221D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Project Location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EC6" w:rsidRPr="0029221D">
        <w:rPr>
          <w:rFonts w:ascii="Times New Roman" w:hAnsi="Times New Roman" w:cs="Times New Roman"/>
          <w:sz w:val="24"/>
          <w:szCs w:val="24"/>
        </w:rPr>
        <w:t>-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615EC6" w:rsidRPr="0029221D">
        <w:rPr>
          <w:rFonts w:ascii="Times New Roman" w:hAnsi="Times New Roman" w:cs="Times New Roman"/>
          <w:sz w:val="24"/>
          <w:szCs w:val="24"/>
        </w:rPr>
        <w:t xml:space="preserve">Provide the location of the proposed undertaking. </w:t>
      </w:r>
    </w:p>
    <w:p w14:paraId="6BA9D9F8" w14:textId="77777777" w:rsidR="000573D3" w:rsidRPr="0029221D" w:rsidRDefault="003F6B5C" w:rsidP="0029221D">
      <w:pPr>
        <w:pStyle w:val="NoSpacing"/>
        <w:numPr>
          <w:ilvl w:val="1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Map</w:t>
      </w:r>
      <w:r w:rsidR="00FC4991" w:rsidRPr="0029221D">
        <w:rPr>
          <w:rFonts w:ascii="Times New Roman" w:hAnsi="Times New Roman" w:cs="Times New Roman"/>
          <w:sz w:val="24"/>
          <w:szCs w:val="24"/>
        </w:rPr>
        <w:t>(s) or aerials</w:t>
      </w:r>
      <w:r w:rsidR="00CD2328" w:rsidRPr="0029221D">
        <w:rPr>
          <w:rFonts w:ascii="Times New Roman" w:hAnsi="Times New Roman" w:cs="Times New Roman"/>
          <w:sz w:val="24"/>
          <w:szCs w:val="24"/>
        </w:rPr>
        <w:t xml:space="preserve"> which depict the Area of Potential Effect (APE)</w:t>
      </w:r>
      <w:r w:rsidR="00FC4991" w:rsidRPr="0029221D">
        <w:rPr>
          <w:rFonts w:ascii="Times New Roman" w:hAnsi="Times New Roman" w:cs="Times New Roman"/>
          <w:sz w:val="24"/>
          <w:szCs w:val="24"/>
        </w:rPr>
        <w:t xml:space="preserve">. Maps must have a north arrow, legend, citation, and description. </w:t>
      </w:r>
    </w:p>
    <w:p w14:paraId="3FA60E5B" w14:textId="77777777" w:rsidR="000573D3" w:rsidRPr="0029221D" w:rsidRDefault="003F6B5C" w:rsidP="0029221D">
      <w:pPr>
        <w:pStyle w:val="NoSpacing"/>
        <w:numPr>
          <w:ilvl w:val="1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City</w:t>
      </w:r>
      <w:r w:rsidR="00FC4991" w:rsidRPr="0029221D">
        <w:rPr>
          <w:rFonts w:ascii="Times New Roman" w:hAnsi="Times New Roman" w:cs="Times New Roman"/>
          <w:sz w:val="24"/>
          <w:szCs w:val="24"/>
        </w:rPr>
        <w:t>/Town</w:t>
      </w:r>
    </w:p>
    <w:p w14:paraId="52DCE237" w14:textId="77777777" w:rsidR="000573D3" w:rsidRPr="0029221D" w:rsidRDefault="003F6B5C" w:rsidP="0029221D">
      <w:pPr>
        <w:pStyle w:val="NoSpacing"/>
        <w:numPr>
          <w:ilvl w:val="1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Section/Township/Range</w:t>
      </w:r>
    </w:p>
    <w:p w14:paraId="485FE70A" w14:textId="385C956A" w:rsidR="00615EC6" w:rsidRPr="0029221D" w:rsidRDefault="00D37C5D" w:rsidP="0029221D">
      <w:pPr>
        <w:pStyle w:val="NoSpacing"/>
        <w:numPr>
          <w:ilvl w:val="1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Street Address</w:t>
      </w:r>
    </w:p>
    <w:p w14:paraId="6B1408C5" w14:textId="2FE31194" w:rsidR="000573D3" w:rsidRPr="0029221D" w:rsidRDefault="003F6B5C" w:rsidP="0029221D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Project De</w:t>
      </w:r>
      <w:r w:rsidR="00615EC6" w:rsidRPr="0029221D">
        <w:rPr>
          <w:rFonts w:ascii="Times New Roman" w:hAnsi="Times New Roman" w:cs="Times New Roman"/>
          <w:b/>
          <w:bCs/>
          <w:sz w:val="24"/>
          <w:szCs w:val="24"/>
        </w:rPr>
        <w:t>scription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EC6" w:rsidRPr="0029221D">
        <w:rPr>
          <w:rFonts w:ascii="Times New Roman" w:hAnsi="Times New Roman" w:cs="Times New Roman"/>
          <w:sz w:val="24"/>
          <w:szCs w:val="24"/>
        </w:rPr>
        <w:t xml:space="preserve">- Provide a detailed written description of the proposed project, including related activities, which will be carried out in conjunction with the project. Indicate whether the project will include </w:t>
      </w:r>
      <w:r w:rsidR="003175FD" w:rsidRPr="0029221D">
        <w:rPr>
          <w:rFonts w:ascii="Times New Roman" w:hAnsi="Times New Roman" w:cs="Times New Roman"/>
          <w:sz w:val="24"/>
          <w:szCs w:val="24"/>
        </w:rPr>
        <w:t xml:space="preserve">ground disturbance, </w:t>
      </w:r>
      <w:r w:rsidR="00615EC6" w:rsidRPr="0029221D">
        <w:rPr>
          <w:rFonts w:ascii="Times New Roman" w:hAnsi="Times New Roman" w:cs="Times New Roman"/>
          <w:sz w:val="24"/>
          <w:szCs w:val="24"/>
        </w:rPr>
        <w:t>rehabilitation, demolition and/or new construction</w:t>
      </w:r>
      <w:r w:rsidR="003175FD" w:rsidRPr="0029221D">
        <w:rPr>
          <w:rFonts w:ascii="Times New Roman" w:hAnsi="Times New Roman" w:cs="Times New Roman"/>
          <w:sz w:val="24"/>
          <w:szCs w:val="24"/>
        </w:rPr>
        <w:t>.</w:t>
      </w:r>
    </w:p>
    <w:p w14:paraId="52EE1E9E" w14:textId="385FDFA1" w:rsidR="000573D3" w:rsidRPr="0029221D" w:rsidRDefault="003F6B5C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Property Description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CD2328" w:rsidRPr="0029221D">
        <w:rPr>
          <w:rFonts w:ascii="Times New Roman" w:hAnsi="Times New Roman" w:cs="Times New Roman"/>
          <w:sz w:val="24"/>
          <w:szCs w:val="24"/>
        </w:rPr>
        <w:t xml:space="preserve">- Description of the subject property including current land use and zoning. </w:t>
      </w:r>
    </w:p>
    <w:p w14:paraId="1127C72D" w14:textId="5D995333" w:rsidR="003F6B5C" w:rsidRPr="0029221D" w:rsidRDefault="003F6B5C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Ground Disturbance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CD2328" w:rsidRPr="0029221D">
        <w:rPr>
          <w:rFonts w:ascii="Times New Roman" w:hAnsi="Times New Roman" w:cs="Times New Roman"/>
          <w:sz w:val="24"/>
          <w:szCs w:val="24"/>
        </w:rPr>
        <w:t>-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9B228B" w:rsidRPr="0029221D">
        <w:rPr>
          <w:rFonts w:ascii="Times New Roman" w:hAnsi="Times New Roman" w:cs="Times New Roman"/>
          <w:sz w:val="24"/>
          <w:szCs w:val="24"/>
        </w:rPr>
        <w:t xml:space="preserve">Description of the extent and nature of both previous ground disturbance </w:t>
      </w:r>
      <w:r w:rsidR="003774DF" w:rsidRPr="0029221D">
        <w:rPr>
          <w:rFonts w:ascii="Times New Roman" w:hAnsi="Times New Roman" w:cs="Times New Roman"/>
          <w:sz w:val="24"/>
          <w:szCs w:val="24"/>
        </w:rPr>
        <w:t xml:space="preserve">and proposed new disturbance </w:t>
      </w:r>
      <w:r w:rsidR="009B228B" w:rsidRPr="0029221D">
        <w:rPr>
          <w:rFonts w:ascii="Times New Roman" w:hAnsi="Times New Roman" w:cs="Times New Roman"/>
          <w:sz w:val="24"/>
          <w:szCs w:val="24"/>
        </w:rPr>
        <w:t>within the APE</w:t>
      </w:r>
      <w:r w:rsidR="003774DF" w:rsidRPr="0029221D">
        <w:rPr>
          <w:rFonts w:ascii="Times New Roman" w:hAnsi="Times New Roman" w:cs="Times New Roman"/>
          <w:sz w:val="24"/>
          <w:szCs w:val="24"/>
        </w:rPr>
        <w:t>.</w:t>
      </w:r>
    </w:p>
    <w:p w14:paraId="4F5F9E3A" w14:textId="60FB9DD6" w:rsidR="00D37C5D" w:rsidRPr="0029221D" w:rsidRDefault="00D37C5D" w:rsidP="0029221D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Photographs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21D">
        <w:rPr>
          <w:rFonts w:ascii="Times New Roman" w:hAnsi="Times New Roman" w:cs="Times New Roman"/>
          <w:sz w:val="24"/>
          <w:szCs w:val="24"/>
        </w:rPr>
        <w:t>-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Pr="0029221D">
        <w:rPr>
          <w:rFonts w:ascii="Times New Roman" w:hAnsi="Times New Roman" w:cs="Times New Roman"/>
          <w:sz w:val="24"/>
          <w:szCs w:val="24"/>
        </w:rPr>
        <w:t xml:space="preserve">Provide photographs of the archaeological and historic APE. Photographs should </w:t>
      </w:r>
      <w:r w:rsidR="000573D3" w:rsidRPr="0029221D">
        <w:rPr>
          <w:rFonts w:ascii="Times New Roman" w:hAnsi="Times New Roman" w:cs="Times New Roman"/>
          <w:sz w:val="24"/>
          <w:szCs w:val="24"/>
        </w:rPr>
        <w:t xml:space="preserve">provide an </w:t>
      </w:r>
      <w:r w:rsidRPr="0029221D">
        <w:rPr>
          <w:rFonts w:ascii="Times New Roman" w:hAnsi="Times New Roman" w:cs="Times New Roman"/>
          <w:sz w:val="24"/>
          <w:szCs w:val="24"/>
        </w:rPr>
        <w:t>overview of the APE</w:t>
      </w:r>
      <w:r w:rsidR="000573D3" w:rsidRPr="0029221D">
        <w:rPr>
          <w:rFonts w:ascii="Times New Roman" w:hAnsi="Times New Roman" w:cs="Times New Roman"/>
          <w:sz w:val="24"/>
          <w:szCs w:val="24"/>
        </w:rPr>
        <w:t xml:space="preserve"> as well as depict </w:t>
      </w:r>
      <w:r w:rsidRPr="0029221D">
        <w:rPr>
          <w:rFonts w:ascii="Times New Roman" w:hAnsi="Times New Roman" w:cs="Times New Roman"/>
          <w:sz w:val="24"/>
          <w:szCs w:val="24"/>
        </w:rPr>
        <w:t>known resources within or directly adject to the APE</w:t>
      </w:r>
    </w:p>
    <w:p w14:paraId="25F377BA" w14:textId="5EDB4C99" w:rsidR="000573D3" w:rsidRPr="0029221D" w:rsidRDefault="003F6B5C" w:rsidP="0029221D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Records Search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28B" w:rsidRPr="0029221D">
        <w:rPr>
          <w:rFonts w:ascii="Times New Roman" w:hAnsi="Times New Roman" w:cs="Times New Roman"/>
          <w:sz w:val="24"/>
          <w:szCs w:val="24"/>
        </w:rPr>
        <w:t>-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9B228B" w:rsidRPr="0029221D">
        <w:rPr>
          <w:rFonts w:ascii="Times New Roman" w:hAnsi="Times New Roman" w:cs="Times New Roman"/>
          <w:sz w:val="24"/>
          <w:szCs w:val="24"/>
        </w:rPr>
        <w:t xml:space="preserve">Description of the archival resources consulted and a discussion of the information they provided. </w:t>
      </w:r>
    </w:p>
    <w:p w14:paraId="007B0960" w14:textId="77777777" w:rsidR="000573D3" w:rsidRPr="0029221D" w:rsidRDefault="00615EC6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Florida Master Site File</w:t>
      </w:r>
      <w:r w:rsidR="000573D3" w:rsidRPr="00292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7115D" w14:textId="77777777" w:rsidR="000573D3" w:rsidRPr="0029221D" w:rsidRDefault="00615EC6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Historic Aerials</w:t>
      </w:r>
      <w:r w:rsidR="000573D3" w:rsidRPr="00292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1943B" w14:textId="77777777" w:rsidR="000573D3" w:rsidRPr="0029221D" w:rsidRDefault="009B228B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Historic Topographic Maps</w:t>
      </w:r>
    </w:p>
    <w:p w14:paraId="4A4010D2" w14:textId="77777777" w:rsidR="000573D3" w:rsidRPr="0029221D" w:rsidRDefault="009B228B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Certified Local Governments</w:t>
      </w:r>
    </w:p>
    <w:p w14:paraId="150FADB3" w14:textId="21B08BD7" w:rsidR="000573D3" w:rsidRPr="0029221D" w:rsidRDefault="003774DF" w:rsidP="0029221D">
      <w:pPr>
        <w:pStyle w:val="NoSpacing"/>
        <w:numPr>
          <w:ilvl w:val="1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Local Planning/Preservation Offices</w:t>
      </w:r>
    </w:p>
    <w:p w14:paraId="5A129F3C" w14:textId="241D4BF0" w:rsidR="000573D3" w:rsidRPr="0029221D" w:rsidRDefault="000573D3" w:rsidP="0029221D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 xml:space="preserve">* </w:t>
      </w:r>
      <w:r w:rsidRPr="0029221D">
        <w:rPr>
          <w:rFonts w:ascii="Times New Roman" w:hAnsi="Times New Roman" w:cs="Times New Roman"/>
          <w:i/>
          <w:iCs/>
          <w:sz w:val="24"/>
          <w:szCs w:val="24"/>
        </w:rPr>
        <w:t>Historic and archaeological context</w:t>
      </w:r>
      <w:r w:rsidR="00390A18" w:rsidRPr="0029221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9221D">
        <w:rPr>
          <w:rFonts w:ascii="Times New Roman" w:hAnsi="Times New Roman" w:cs="Times New Roman"/>
          <w:i/>
          <w:iCs/>
          <w:sz w:val="24"/>
          <w:szCs w:val="24"/>
        </w:rPr>
        <w:t xml:space="preserve"> should reflect the region of Florida where the work was conducted. </w:t>
      </w:r>
    </w:p>
    <w:p w14:paraId="22D37311" w14:textId="1BB9960E" w:rsidR="000573D3" w:rsidRPr="0029221D" w:rsidRDefault="000573D3" w:rsidP="0029221D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Resource Evaluations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21D">
        <w:rPr>
          <w:rFonts w:ascii="Times New Roman" w:hAnsi="Times New Roman" w:cs="Times New Roman"/>
          <w:sz w:val="24"/>
          <w:szCs w:val="24"/>
        </w:rPr>
        <w:t>-</w:t>
      </w:r>
      <w:r w:rsidR="00A4304B">
        <w:rPr>
          <w:rFonts w:ascii="Times New Roman" w:hAnsi="Times New Roman" w:cs="Times New Roman"/>
          <w:sz w:val="24"/>
          <w:szCs w:val="24"/>
        </w:rPr>
        <w:t xml:space="preserve"> </w:t>
      </w:r>
      <w:r w:rsidR="00390A18" w:rsidRPr="0029221D">
        <w:rPr>
          <w:rFonts w:ascii="Times New Roman" w:hAnsi="Times New Roman" w:cs="Times New Roman"/>
          <w:sz w:val="24"/>
          <w:szCs w:val="24"/>
        </w:rPr>
        <w:t xml:space="preserve">Provide a determination of eligibility for all historic and archaeological resources within or directly adjacent to the APE. </w:t>
      </w:r>
    </w:p>
    <w:p w14:paraId="1AAB5B2D" w14:textId="123A35C7" w:rsidR="00615EC6" w:rsidRPr="0029221D" w:rsidRDefault="00615EC6" w:rsidP="0029221D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b/>
          <w:bCs/>
          <w:sz w:val="24"/>
          <w:szCs w:val="24"/>
        </w:rPr>
        <w:t>Finding of Effect</w:t>
      </w:r>
      <w:r w:rsidR="00A43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221D">
        <w:rPr>
          <w:rFonts w:ascii="Times New Roman" w:hAnsi="Times New Roman" w:cs="Times New Roman"/>
          <w:sz w:val="24"/>
          <w:szCs w:val="24"/>
        </w:rPr>
        <w:t>- Descri</w:t>
      </w:r>
      <w:r w:rsidR="000D0F68" w:rsidRPr="0029221D">
        <w:rPr>
          <w:rFonts w:ascii="Times New Roman" w:hAnsi="Times New Roman" w:cs="Times New Roman"/>
          <w:sz w:val="24"/>
          <w:szCs w:val="24"/>
        </w:rPr>
        <w:t>ption</w:t>
      </w:r>
      <w:r w:rsidRPr="0029221D">
        <w:rPr>
          <w:rFonts w:ascii="Times New Roman" w:hAnsi="Times New Roman" w:cs="Times New Roman"/>
          <w:sz w:val="24"/>
          <w:szCs w:val="24"/>
        </w:rPr>
        <w:t xml:space="preserve"> what effect the undertaking will have on historic properties</w:t>
      </w:r>
      <w:r w:rsidR="000D0F68" w:rsidRPr="0029221D">
        <w:rPr>
          <w:rFonts w:ascii="Times New Roman" w:hAnsi="Times New Roman" w:cs="Times New Roman"/>
          <w:sz w:val="24"/>
          <w:szCs w:val="24"/>
        </w:rPr>
        <w:t xml:space="preserve"> within and directly adjacent to the APE</w:t>
      </w:r>
      <w:r w:rsidRPr="0029221D">
        <w:rPr>
          <w:rFonts w:ascii="Times New Roman" w:hAnsi="Times New Roman" w:cs="Times New Roman"/>
          <w:sz w:val="24"/>
          <w:szCs w:val="24"/>
        </w:rPr>
        <w:t>. Provide a finding of effect (“No historic properties affected" or "No adverse effect" or "Adverse Effect") as described in 36 CFR Part 800.</w:t>
      </w:r>
    </w:p>
    <w:p w14:paraId="771FC5E1" w14:textId="0BED5A07" w:rsidR="00F92A6C" w:rsidRPr="0029221D" w:rsidRDefault="00F92A6C" w:rsidP="0029221D">
      <w:pPr>
        <w:spacing w:before="240" w:after="2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9221D">
        <w:rPr>
          <w:rFonts w:ascii="Times New Roman" w:hAnsi="Times New Roman" w:cs="Times New Roman"/>
          <w:b/>
          <w:bCs/>
          <w:sz w:val="32"/>
          <w:szCs w:val="32"/>
          <w:u w:val="single"/>
        </w:rPr>
        <w:t>Submission Guidelines</w:t>
      </w:r>
    </w:p>
    <w:p w14:paraId="5408C1DD" w14:textId="77777777" w:rsidR="008E085C" w:rsidRPr="0029221D" w:rsidRDefault="008E085C" w:rsidP="0029221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All electronic submissions should be emailed to</w:t>
      </w:r>
      <w:r w:rsidR="00F92A6C" w:rsidRPr="0029221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92A6C" w:rsidRPr="0029221D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CompliancePermits@dos.myflorida.com</w:t>
        </w:r>
      </w:hyperlink>
      <w:r w:rsidR="00F92A6C" w:rsidRPr="0029221D">
        <w:rPr>
          <w:rFonts w:ascii="Times New Roman" w:hAnsi="Times New Roman" w:cs="Times New Roman"/>
          <w:sz w:val="24"/>
          <w:szCs w:val="24"/>
        </w:rPr>
        <w:t xml:space="preserve">  and </w:t>
      </w:r>
    </w:p>
    <w:p w14:paraId="3FB1AA1F" w14:textId="38A6FEDB" w:rsidR="008E085C" w:rsidRPr="0029221D" w:rsidRDefault="00F92A6C" w:rsidP="0029221D">
      <w:pPr>
        <w:pStyle w:val="ListParagraph"/>
        <w:numPr>
          <w:ilvl w:val="1"/>
          <w:numId w:val="7"/>
        </w:numP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 xml:space="preserve">cc the applicable SHPO reviewer </w:t>
      </w:r>
    </w:p>
    <w:p w14:paraId="07D43963" w14:textId="1E648B21" w:rsidR="00F92A6C" w:rsidRPr="0029221D" w:rsidRDefault="00A4304B" w:rsidP="0029221D">
      <w:pPr>
        <w:pStyle w:val="ListParagraph"/>
        <w:numPr>
          <w:ilvl w:val="1"/>
          <w:numId w:val="7"/>
        </w:numPr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 the appropriate </w:t>
      </w:r>
      <w:r w:rsidR="00F92A6C" w:rsidRPr="0029221D">
        <w:rPr>
          <w:rFonts w:ascii="Times New Roman" w:hAnsi="Times New Roman" w:cs="Times New Roman"/>
          <w:sz w:val="24"/>
          <w:szCs w:val="24"/>
        </w:rPr>
        <w:t>OEM cultural resource contact</w:t>
      </w:r>
      <w:r w:rsidR="008E085C" w:rsidRPr="002922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BBC7A" w14:textId="364F1549" w:rsidR="00F92A6C" w:rsidRPr="0029221D" w:rsidRDefault="00F92A6C" w:rsidP="0029221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For digital submissions include key works like “FDOT</w:t>
      </w:r>
      <w:r w:rsidR="008E085C" w:rsidRPr="0029221D">
        <w:rPr>
          <w:rFonts w:ascii="Times New Roman" w:hAnsi="Times New Roman" w:cs="Times New Roman"/>
          <w:sz w:val="24"/>
          <w:szCs w:val="24"/>
        </w:rPr>
        <w:t xml:space="preserve"> District XX,” “Minor Project,</w:t>
      </w:r>
      <w:r w:rsidR="00492679" w:rsidRPr="0029221D">
        <w:rPr>
          <w:rFonts w:ascii="Times New Roman" w:hAnsi="Times New Roman" w:cs="Times New Roman"/>
          <w:sz w:val="24"/>
          <w:szCs w:val="24"/>
        </w:rPr>
        <w:t>” or “RAI response”</w:t>
      </w:r>
      <w:r w:rsidR="008E085C" w:rsidRPr="0029221D">
        <w:rPr>
          <w:rFonts w:ascii="Times New Roman" w:hAnsi="Times New Roman" w:cs="Times New Roman"/>
          <w:sz w:val="24"/>
          <w:szCs w:val="24"/>
        </w:rPr>
        <w:t xml:space="preserve"> in the subject line so they can be easily identified </w:t>
      </w:r>
      <w:r w:rsidR="0020343E" w:rsidRPr="0029221D">
        <w:rPr>
          <w:rFonts w:ascii="Times New Roman" w:hAnsi="Times New Roman" w:cs="Times New Roman"/>
          <w:sz w:val="24"/>
          <w:szCs w:val="24"/>
        </w:rPr>
        <w:t xml:space="preserve">in our general inbox </w:t>
      </w:r>
      <w:r w:rsidR="008E085C" w:rsidRPr="0029221D">
        <w:rPr>
          <w:rFonts w:ascii="Times New Roman" w:hAnsi="Times New Roman" w:cs="Times New Roman"/>
          <w:sz w:val="24"/>
          <w:szCs w:val="24"/>
        </w:rPr>
        <w:t>and assigned for review</w:t>
      </w:r>
    </w:p>
    <w:p w14:paraId="7B310FAB" w14:textId="4A5AFE1C" w:rsidR="00AD682E" w:rsidRDefault="008E085C" w:rsidP="0029221D">
      <w:pPr>
        <w:pStyle w:val="ListParagraph"/>
        <w:numPr>
          <w:ilvl w:val="0"/>
          <w:numId w:val="7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21D">
        <w:rPr>
          <w:rFonts w:ascii="Times New Roman" w:hAnsi="Times New Roman" w:cs="Times New Roman"/>
          <w:sz w:val="24"/>
          <w:szCs w:val="24"/>
        </w:rPr>
        <w:t>Hardcopies of CRAS reports and FMSF forms are required and if digitals are provided, they must be on a CD or jump drive/thumb drive.</w:t>
      </w:r>
    </w:p>
    <w:p w14:paraId="1A4B68EA" w14:textId="77777777" w:rsidR="00A4304B" w:rsidRPr="00A4304B" w:rsidRDefault="00A4304B" w:rsidP="00A4304B"/>
    <w:p w14:paraId="00036F61" w14:textId="1ED49CD4" w:rsidR="00A4304B" w:rsidRPr="00A4304B" w:rsidRDefault="00A4304B" w:rsidP="00A4304B">
      <w:pPr>
        <w:tabs>
          <w:tab w:val="left" w:pos="8715"/>
        </w:tabs>
      </w:pPr>
      <w:r>
        <w:tab/>
      </w:r>
    </w:p>
    <w:sectPr w:rsidR="00A4304B" w:rsidRPr="00A4304B" w:rsidSect="00A4304B">
      <w:footerReference w:type="default" r:id="rId8"/>
      <w:pgSz w:w="12240" w:h="15840"/>
      <w:pgMar w:top="1008" w:right="1008" w:bottom="1008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BD9E7" w14:textId="77777777" w:rsidR="00A4304B" w:rsidRDefault="00A4304B" w:rsidP="00A4304B">
      <w:pPr>
        <w:spacing w:after="0" w:line="240" w:lineRule="auto"/>
      </w:pPr>
      <w:r>
        <w:separator/>
      </w:r>
    </w:p>
  </w:endnote>
  <w:endnote w:type="continuationSeparator" w:id="0">
    <w:p w14:paraId="2EBB99F0" w14:textId="77777777" w:rsidR="00A4304B" w:rsidRDefault="00A4304B" w:rsidP="00A4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2A45" w14:textId="296949D1" w:rsidR="00A4304B" w:rsidRDefault="00A4304B" w:rsidP="00A4304B">
    <w:pPr>
      <w:pStyle w:val="Footer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SHPO Original - June 2022</w:t>
    </w:r>
  </w:p>
  <w:p w14:paraId="7F62E33B" w14:textId="3872EE8F" w:rsidR="00A4304B" w:rsidRDefault="00A4304B" w:rsidP="00A4304B">
    <w:pPr>
      <w:pStyle w:val="Footer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OEM Updated - April 2024</w:t>
    </w:r>
  </w:p>
  <w:p w14:paraId="688CE76E" w14:textId="29C2FC90" w:rsidR="00A4304B" w:rsidRPr="00A4304B" w:rsidRDefault="00A4304B" w:rsidP="00A4304B">
    <w:pPr>
      <w:pStyle w:val="Footer"/>
      <w:jc w:val="right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(removed former OEM staff names)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5976F" w14:textId="77777777" w:rsidR="00A4304B" w:rsidRDefault="00A4304B" w:rsidP="00A4304B">
      <w:pPr>
        <w:spacing w:after="0" w:line="240" w:lineRule="auto"/>
      </w:pPr>
      <w:r>
        <w:separator/>
      </w:r>
    </w:p>
  </w:footnote>
  <w:footnote w:type="continuationSeparator" w:id="0">
    <w:p w14:paraId="76094930" w14:textId="77777777" w:rsidR="00A4304B" w:rsidRDefault="00A4304B" w:rsidP="00A43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6C3F"/>
    <w:multiLevelType w:val="hybridMultilevel"/>
    <w:tmpl w:val="F302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7B2"/>
    <w:multiLevelType w:val="hybridMultilevel"/>
    <w:tmpl w:val="4E9C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81FB8"/>
    <w:multiLevelType w:val="hybridMultilevel"/>
    <w:tmpl w:val="30EC3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03327"/>
    <w:multiLevelType w:val="hybridMultilevel"/>
    <w:tmpl w:val="6F6E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53B5"/>
    <w:multiLevelType w:val="hybridMultilevel"/>
    <w:tmpl w:val="A2AE8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468AE"/>
    <w:multiLevelType w:val="hybridMultilevel"/>
    <w:tmpl w:val="531E39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A71853"/>
    <w:multiLevelType w:val="hybridMultilevel"/>
    <w:tmpl w:val="AEB2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4434">
    <w:abstractNumId w:val="6"/>
  </w:num>
  <w:num w:numId="2" w16cid:durableId="431820755">
    <w:abstractNumId w:val="5"/>
  </w:num>
  <w:num w:numId="3" w16cid:durableId="674041083">
    <w:abstractNumId w:val="3"/>
  </w:num>
  <w:num w:numId="4" w16cid:durableId="346295766">
    <w:abstractNumId w:val="1"/>
  </w:num>
  <w:num w:numId="5" w16cid:durableId="31851627">
    <w:abstractNumId w:val="4"/>
  </w:num>
  <w:num w:numId="6" w16cid:durableId="147744115">
    <w:abstractNumId w:val="2"/>
  </w:num>
  <w:num w:numId="7" w16cid:durableId="1634603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2E"/>
    <w:rsid w:val="0001523C"/>
    <w:rsid w:val="000573D3"/>
    <w:rsid w:val="000D0F68"/>
    <w:rsid w:val="0020343E"/>
    <w:rsid w:val="0029221D"/>
    <w:rsid w:val="00297FED"/>
    <w:rsid w:val="003175FD"/>
    <w:rsid w:val="00364DB0"/>
    <w:rsid w:val="003774DF"/>
    <w:rsid w:val="00390A18"/>
    <w:rsid w:val="003C28C4"/>
    <w:rsid w:val="003F6B5C"/>
    <w:rsid w:val="00492679"/>
    <w:rsid w:val="00615EC6"/>
    <w:rsid w:val="008E085C"/>
    <w:rsid w:val="0095090E"/>
    <w:rsid w:val="009B228B"/>
    <w:rsid w:val="00A4304B"/>
    <w:rsid w:val="00AD682E"/>
    <w:rsid w:val="00AE3C38"/>
    <w:rsid w:val="00B761FA"/>
    <w:rsid w:val="00CD2328"/>
    <w:rsid w:val="00D37C5D"/>
    <w:rsid w:val="00D901A5"/>
    <w:rsid w:val="00EB0026"/>
    <w:rsid w:val="00F92A6C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2D97"/>
  <w15:chartTrackingRefBased/>
  <w15:docId w15:val="{F29E9234-53FA-4B7A-8766-DCAF7CE1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B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74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4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4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4DF"/>
    <w:rPr>
      <w:b/>
      <w:bCs/>
      <w:sz w:val="20"/>
      <w:szCs w:val="20"/>
    </w:rPr>
  </w:style>
  <w:style w:type="paragraph" w:styleId="NoSpacing">
    <w:name w:val="No Spacing"/>
    <w:uiPriority w:val="1"/>
    <w:qFormat/>
    <w:rsid w:val="000573D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2A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A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3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04B"/>
  </w:style>
  <w:style w:type="paragraph" w:styleId="Footer">
    <w:name w:val="footer"/>
    <w:basedOn w:val="Normal"/>
    <w:link w:val="FooterChar"/>
    <w:uiPriority w:val="99"/>
    <w:unhideWhenUsed/>
    <w:rsid w:val="00A43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liancePermits@dos.myflori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Kelly L.</dc:creator>
  <cp:keywords/>
  <dc:description/>
  <cp:lastModifiedBy>Rothrock, Lindsay</cp:lastModifiedBy>
  <cp:revision>2</cp:revision>
  <dcterms:created xsi:type="dcterms:W3CDTF">2024-04-15T15:38:00Z</dcterms:created>
  <dcterms:modified xsi:type="dcterms:W3CDTF">2024-04-15T15:38:00Z</dcterms:modified>
</cp:coreProperties>
</file>